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7607" w14:textId="75681B45" w:rsidR="00D46A5E" w:rsidRPr="00344C5C" w:rsidRDefault="00D46A5E">
      <w:pPr>
        <w:rPr>
          <w:sz w:val="32"/>
          <w:szCs w:val="32"/>
        </w:rPr>
      </w:pPr>
    </w:p>
    <w:p w14:paraId="161EC17D" w14:textId="451E3B35" w:rsidR="00DC655B" w:rsidRPr="00344C5C" w:rsidRDefault="00344C5C" w:rsidP="00344C5C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</w:t>
      </w:r>
      <w:r w:rsidR="00DC655B" w:rsidRPr="00344C5C">
        <w:rPr>
          <w:rFonts w:ascii="Arial" w:hAnsi="Arial" w:cs="Arial"/>
          <w:b/>
          <w:bCs/>
          <w:sz w:val="32"/>
          <w:szCs w:val="32"/>
        </w:rPr>
        <w:t>PROMESSE D’EMBAUCHE</w:t>
      </w:r>
    </w:p>
    <w:p w14:paraId="02596A9E" w14:textId="363A86C3" w:rsidR="00344C5C" w:rsidRDefault="00344C5C" w:rsidP="00344C5C">
      <w:pPr>
        <w:spacing w:after="0" w:line="240" w:lineRule="auto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</w:rPr>
        <w:t xml:space="preserve">                                                                     </w:t>
      </w:r>
    </w:p>
    <w:p w14:paraId="2B7D8BB8" w14:textId="77777777" w:rsidR="007A6213" w:rsidRPr="007A6213" w:rsidRDefault="007A6213" w:rsidP="00DC655B">
      <w:pPr>
        <w:spacing w:after="0" w:line="240" w:lineRule="auto"/>
      </w:pPr>
      <w:r w:rsidRPr="007A6213">
        <w:rPr>
          <w:b/>
          <w:bCs/>
          <w:color w:val="2F5496" w:themeColor="accent1" w:themeShade="BF"/>
        </w:rPr>
        <w:t>Le contrat d’apprentissage en bref</w:t>
      </w:r>
      <w:r w:rsidRPr="007A6213">
        <w:t xml:space="preserve"> </w:t>
      </w:r>
    </w:p>
    <w:p w14:paraId="2399D86D" w14:textId="77777777" w:rsidR="007A6213" w:rsidRDefault="007A6213" w:rsidP="00DC65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Il s’agit d’</w:t>
      </w:r>
      <w:r w:rsidR="00DC655B" w:rsidRPr="00DC655B">
        <w:rPr>
          <w:sz w:val="18"/>
          <w:szCs w:val="18"/>
        </w:rPr>
        <w:t xml:space="preserve">un contrat de travail </w:t>
      </w:r>
      <w:r>
        <w:rPr>
          <w:sz w:val="18"/>
          <w:szCs w:val="18"/>
        </w:rPr>
        <w:t xml:space="preserve">en </w:t>
      </w:r>
      <w:r w:rsidR="00DC655B" w:rsidRPr="00DC655B">
        <w:rPr>
          <w:sz w:val="18"/>
          <w:szCs w:val="18"/>
        </w:rPr>
        <w:t xml:space="preserve">alternance </w:t>
      </w:r>
      <w:r>
        <w:rPr>
          <w:sz w:val="18"/>
          <w:szCs w:val="18"/>
        </w:rPr>
        <w:t>(</w:t>
      </w:r>
      <w:r w:rsidR="00DC655B" w:rsidRPr="00DC655B">
        <w:rPr>
          <w:sz w:val="18"/>
          <w:szCs w:val="18"/>
        </w:rPr>
        <w:t>périodes de formation en entreprise et en centre de formation d’apprentis</w:t>
      </w:r>
      <w:r>
        <w:rPr>
          <w:sz w:val="18"/>
          <w:szCs w:val="18"/>
        </w:rPr>
        <w:t>)</w:t>
      </w:r>
      <w:r w:rsidR="00DC655B" w:rsidRPr="00DC655B">
        <w:rPr>
          <w:sz w:val="18"/>
          <w:szCs w:val="18"/>
        </w:rPr>
        <w:t xml:space="preserve">. </w:t>
      </w:r>
    </w:p>
    <w:p w14:paraId="378CF175" w14:textId="60109E4C" w:rsidR="00DC655B" w:rsidRDefault="00DC655B" w:rsidP="00DC655B">
      <w:pPr>
        <w:spacing w:after="0" w:line="240" w:lineRule="auto"/>
        <w:rPr>
          <w:sz w:val="18"/>
          <w:szCs w:val="18"/>
        </w:rPr>
      </w:pPr>
      <w:r w:rsidRPr="00DC655B">
        <w:rPr>
          <w:sz w:val="18"/>
          <w:szCs w:val="18"/>
        </w:rPr>
        <w:t xml:space="preserve">Son objectif est de </w:t>
      </w:r>
      <w:r w:rsidRPr="005C6E18">
        <w:rPr>
          <w:sz w:val="18"/>
          <w:szCs w:val="18"/>
        </w:rPr>
        <w:t xml:space="preserve">permettre à un </w:t>
      </w:r>
      <w:r w:rsidR="005C6E18" w:rsidRPr="005C6E18">
        <w:rPr>
          <w:sz w:val="18"/>
          <w:szCs w:val="18"/>
        </w:rPr>
        <w:t>apprenti de</w:t>
      </w:r>
      <w:r w:rsidRPr="005C6E18">
        <w:rPr>
          <w:sz w:val="18"/>
          <w:szCs w:val="18"/>
        </w:rPr>
        <w:t xml:space="preserve"> suivre une formation générale, théorique et pratique</w:t>
      </w:r>
      <w:r w:rsidRPr="00DC655B">
        <w:rPr>
          <w:sz w:val="18"/>
          <w:szCs w:val="18"/>
        </w:rPr>
        <w:t xml:space="preserve"> </w:t>
      </w:r>
      <w:r w:rsidR="005C6E18">
        <w:rPr>
          <w:sz w:val="18"/>
          <w:szCs w:val="18"/>
        </w:rPr>
        <w:t>afin</w:t>
      </w:r>
      <w:r w:rsidRPr="00DC655B">
        <w:rPr>
          <w:sz w:val="18"/>
          <w:szCs w:val="18"/>
        </w:rPr>
        <w:t xml:space="preserve"> d’acquérir un diplôme d'État (CAP, BAC, BTS, Licence, etc.) ou un titre à finalité professionnelle inscrit au répertoire national des certifications professionnelles (RNCP).</w:t>
      </w:r>
    </w:p>
    <w:p w14:paraId="55052410" w14:textId="205B6C16" w:rsidR="00DC655B" w:rsidRPr="00FD1DE2" w:rsidRDefault="00DC655B" w:rsidP="00DC655B">
      <w:pPr>
        <w:spacing w:after="0" w:line="240" w:lineRule="auto"/>
        <w:rPr>
          <w:color w:val="2F5496" w:themeColor="accent1" w:themeShade="BF"/>
          <w:sz w:val="18"/>
          <w:szCs w:val="18"/>
        </w:rPr>
      </w:pPr>
      <w:r w:rsidRPr="007A6213">
        <w:rPr>
          <w:b/>
          <w:bCs/>
          <w:color w:val="FF0000"/>
          <w:sz w:val="16"/>
          <w:szCs w:val="16"/>
        </w:rPr>
        <w:t xml:space="preserve">Bon à </w:t>
      </w:r>
      <w:r w:rsidR="007A6213" w:rsidRPr="007A6213">
        <w:rPr>
          <w:b/>
          <w:bCs/>
          <w:color w:val="FF0000"/>
          <w:sz w:val="16"/>
          <w:szCs w:val="16"/>
        </w:rPr>
        <w:t>savoir</w:t>
      </w:r>
      <w:r w:rsidRPr="00DC655B">
        <w:rPr>
          <w:color w:val="FF0000"/>
          <w:sz w:val="18"/>
          <w:szCs w:val="18"/>
        </w:rPr>
        <w:t xml:space="preserve"> </w:t>
      </w:r>
      <w:r w:rsidRPr="00DC655B">
        <w:rPr>
          <w:sz w:val="18"/>
          <w:szCs w:val="18"/>
        </w:rPr>
        <w:t xml:space="preserve">: </w:t>
      </w:r>
      <w:r w:rsidR="007A6213">
        <w:rPr>
          <w:sz w:val="16"/>
          <w:szCs w:val="16"/>
        </w:rPr>
        <w:t>p</w:t>
      </w:r>
      <w:r w:rsidRPr="00BE70D5">
        <w:rPr>
          <w:sz w:val="16"/>
          <w:szCs w:val="16"/>
        </w:rPr>
        <w:t>our</w:t>
      </w:r>
      <w:r w:rsidR="005C6E18" w:rsidRPr="00BE70D5">
        <w:rPr>
          <w:sz w:val="16"/>
          <w:szCs w:val="16"/>
        </w:rPr>
        <w:t xml:space="preserve"> </w:t>
      </w:r>
      <w:r w:rsidRPr="00BE70D5">
        <w:rPr>
          <w:sz w:val="16"/>
          <w:szCs w:val="16"/>
        </w:rPr>
        <w:t>connaître les modalités applicables à l'apprentissage, consulte</w:t>
      </w:r>
      <w:r w:rsidR="005C6E18" w:rsidRPr="00BE70D5">
        <w:rPr>
          <w:sz w:val="16"/>
          <w:szCs w:val="16"/>
        </w:rPr>
        <w:t>z</w:t>
      </w:r>
      <w:r w:rsidRPr="00BE70D5">
        <w:rPr>
          <w:sz w:val="16"/>
          <w:szCs w:val="16"/>
        </w:rPr>
        <w:t xml:space="preserve"> le </w:t>
      </w:r>
      <w:r w:rsidR="005C6E18" w:rsidRPr="00BE70D5">
        <w:rPr>
          <w:sz w:val="16"/>
          <w:szCs w:val="16"/>
        </w:rPr>
        <w:t>p</w:t>
      </w:r>
      <w:r w:rsidRPr="00BE70D5">
        <w:rPr>
          <w:sz w:val="16"/>
          <w:szCs w:val="16"/>
        </w:rPr>
        <w:t>récis de l'apprentissage publié par le Ministère</w:t>
      </w:r>
      <w:r w:rsidR="005C6E18" w:rsidRPr="00BE70D5">
        <w:rPr>
          <w:sz w:val="16"/>
          <w:szCs w:val="16"/>
        </w:rPr>
        <w:t xml:space="preserve"> du Travail</w:t>
      </w:r>
      <w:r w:rsidRPr="00BE70D5">
        <w:rPr>
          <w:sz w:val="16"/>
          <w:szCs w:val="16"/>
        </w:rPr>
        <w:t xml:space="preserve"> et de l’Emploi</w:t>
      </w:r>
      <w:r w:rsidR="005C6E18" w:rsidRPr="00BE70D5">
        <w:rPr>
          <w:sz w:val="16"/>
          <w:szCs w:val="16"/>
        </w:rPr>
        <w:t xml:space="preserve"> </w:t>
      </w:r>
      <w:r w:rsidR="005C6E18" w:rsidRPr="00FD1DE2">
        <w:rPr>
          <w:i/>
          <w:iCs/>
          <w:color w:val="2F5496" w:themeColor="accent1" w:themeShade="BF"/>
          <w:sz w:val="16"/>
          <w:szCs w:val="16"/>
        </w:rPr>
        <w:t>(</w:t>
      </w:r>
      <w:hyperlink r:id="rId8" w:history="1">
        <w:r w:rsidRPr="003059C9">
          <w:rPr>
            <w:rStyle w:val="Lienhypertexte"/>
            <w:i/>
            <w:iCs/>
            <w:color w:val="2F5496" w:themeColor="accent1" w:themeShade="BF"/>
            <w:sz w:val="16"/>
            <w:szCs w:val="16"/>
          </w:rPr>
          <w:t>https://travail-emploi.gouv.fr/precis-de-lapprentissage</w:t>
        </w:r>
      </w:hyperlink>
      <w:r w:rsidR="005C6E18" w:rsidRPr="00FD1DE2">
        <w:rPr>
          <w:color w:val="2F5496" w:themeColor="accent1" w:themeShade="BF"/>
          <w:sz w:val="18"/>
          <w:szCs w:val="18"/>
        </w:rPr>
        <w:t>).</w:t>
      </w:r>
    </w:p>
    <w:p w14:paraId="5E7ED53B" w14:textId="4C820D1E" w:rsidR="00DC655B" w:rsidRPr="00FD1DE2" w:rsidRDefault="00DC655B" w:rsidP="00DC655B">
      <w:pPr>
        <w:spacing w:after="0" w:line="240" w:lineRule="auto"/>
        <w:rPr>
          <w:sz w:val="18"/>
          <w:szCs w:val="18"/>
        </w:rPr>
      </w:pPr>
    </w:p>
    <w:p w14:paraId="343E1F27" w14:textId="6C794C4E" w:rsidR="005C6E18" w:rsidRPr="00344C5C" w:rsidRDefault="005C6E18" w:rsidP="00DC655B">
      <w:pPr>
        <w:spacing w:after="0" w:line="240" w:lineRule="auto"/>
        <w:rPr>
          <w:b/>
          <w:bCs/>
          <w:color w:val="2F5496" w:themeColor="accent1" w:themeShade="BF"/>
        </w:rPr>
      </w:pPr>
      <w:r w:rsidRPr="00344C5C">
        <w:rPr>
          <w:b/>
          <w:bCs/>
          <w:color w:val="2F5496" w:themeColor="accent1" w:themeShade="BF"/>
        </w:rPr>
        <w:t xml:space="preserve">Public concerné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DC655B" w14:paraId="7A59D09E" w14:textId="77777777" w:rsidTr="005C6E18">
        <w:trPr>
          <w:trHeight w:val="1207"/>
        </w:trPr>
        <w:tc>
          <w:tcPr>
            <w:tcW w:w="5098" w:type="dxa"/>
          </w:tcPr>
          <w:p w14:paraId="79E07CEB" w14:textId="6D1F686D" w:rsidR="00B87479" w:rsidRPr="00E853D4" w:rsidRDefault="00B87479" w:rsidP="00B87479">
            <w:pPr>
              <w:rPr>
                <w:sz w:val="16"/>
                <w:szCs w:val="16"/>
              </w:rPr>
            </w:pPr>
            <w:r w:rsidRPr="00950E42">
              <w:rPr>
                <w:sz w:val="18"/>
                <w:szCs w:val="18"/>
              </w:rPr>
              <w:t xml:space="preserve">- </w:t>
            </w:r>
            <w:r w:rsidRPr="00E853D4">
              <w:rPr>
                <w:sz w:val="16"/>
                <w:szCs w:val="16"/>
              </w:rPr>
              <w:t xml:space="preserve">L'apprenti doit être âgé au </w:t>
            </w:r>
            <w:r w:rsidRPr="00E853D4">
              <w:rPr>
                <w:rStyle w:val="lev"/>
                <w:sz w:val="16"/>
                <w:szCs w:val="16"/>
              </w:rPr>
              <w:t>maximum</w:t>
            </w:r>
            <w:r w:rsidRPr="00E853D4">
              <w:rPr>
                <w:sz w:val="16"/>
                <w:szCs w:val="16"/>
              </w:rPr>
              <w:t xml:space="preserve"> de </w:t>
            </w:r>
            <w:r w:rsidRPr="00E853D4">
              <w:rPr>
                <w:rStyle w:val="lev"/>
                <w:sz w:val="16"/>
                <w:szCs w:val="16"/>
              </w:rPr>
              <w:t>29 ans révolus</w:t>
            </w:r>
            <w:r w:rsidRPr="00E853D4">
              <w:rPr>
                <w:sz w:val="16"/>
                <w:szCs w:val="16"/>
              </w:rPr>
              <w:t xml:space="preserve"> (30 ans moins 1 jour)</w:t>
            </w:r>
            <w:r w:rsidR="007A6213" w:rsidRPr="00E853D4">
              <w:rPr>
                <w:sz w:val="16"/>
                <w:szCs w:val="16"/>
              </w:rPr>
              <w:t xml:space="preserve"> le jour de la signature du contrat</w:t>
            </w:r>
            <w:r w:rsidRPr="00E853D4">
              <w:rPr>
                <w:sz w:val="16"/>
                <w:szCs w:val="16"/>
              </w:rPr>
              <w:t>.</w:t>
            </w:r>
          </w:p>
          <w:p w14:paraId="12357183" w14:textId="77777777" w:rsidR="00DC655B" w:rsidRPr="00E853D4" w:rsidRDefault="007A6213" w:rsidP="00DC655B">
            <w:pPr>
              <w:rPr>
                <w:sz w:val="16"/>
                <w:szCs w:val="16"/>
              </w:rPr>
            </w:pPr>
            <w:r w:rsidRPr="00E853D4">
              <w:rPr>
                <w:sz w:val="16"/>
                <w:szCs w:val="16"/>
              </w:rPr>
              <w:t>-</w:t>
            </w:r>
            <w:r w:rsidR="00B87479" w:rsidRPr="00E853D4">
              <w:rPr>
                <w:sz w:val="16"/>
                <w:szCs w:val="16"/>
              </w:rPr>
              <w:t xml:space="preserve"> L</w:t>
            </w:r>
            <w:r w:rsidRPr="00E853D4">
              <w:rPr>
                <w:sz w:val="16"/>
                <w:szCs w:val="16"/>
              </w:rPr>
              <w:t xml:space="preserve">’apprenti </w:t>
            </w:r>
            <w:r w:rsidR="00B87479" w:rsidRPr="00E853D4">
              <w:rPr>
                <w:sz w:val="16"/>
                <w:szCs w:val="16"/>
              </w:rPr>
              <w:t xml:space="preserve">de </w:t>
            </w:r>
            <w:r w:rsidR="00B87479" w:rsidRPr="00E853D4">
              <w:rPr>
                <w:rStyle w:val="lev"/>
                <w:sz w:val="16"/>
                <w:szCs w:val="16"/>
              </w:rPr>
              <w:t>moins de 15 ans</w:t>
            </w:r>
            <w:r w:rsidR="00B87479" w:rsidRPr="00E853D4">
              <w:rPr>
                <w:sz w:val="16"/>
                <w:szCs w:val="16"/>
              </w:rPr>
              <w:t xml:space="preserve"> ayant achevé le premier cycle de l’enseignement secondaire (fin de 3</w:t>
            </w:r>
            <w:r w:rsidR="00B87479" w:rsidRPr="00E853D4">
              <w:rPr>
                <w:sz w:val="16"/>
                <w:szCs w:val="16"/>
                <w:vertAlign w:val="superscript"/>
              </w:rPr>
              <w:t>ème</w:t>
            </w:r>
            <w:r w:rsidR="00B87479" w:rsidRPr="00E853D4">
              <w:rPr>
                <w:sz w:val="16"/>
                <w:szCs w:val="16"/>
              </w:rPr>
              <w:t>) peu</w:t>
            </w:r>
            <w:r w:rsidRPr="00E853D4">
              <w:rPr>
                <w:sz w:val="16"/>
                <w:szCs w:val="16"/>
              </w:rPr>
              <w:t>t</w:t>
            </w:r>
            <w:r w:rsidR="00B87479" w:rsidRPr="00E853D4">
              <w:rPr>
                <w:sz w:val="16"/>
                <w:szCs w:val="16"/>
              </w:rPr>
              <w:t xml:space="preserve"> commencer à exécuter un contrat d'apprentissage dès lors qu’</w:t>
            </w:r>
            <w:r w:rsidRPr="00E853D4">
              <w:rPr>
                <w:sz w:val="16"/>
                <w:szCs w:val="16"/>
              </w:rPr>
              <w:t>il</w:t>
            </w:r>
            <w:r w:rsidR="00B87479" w:rsidRPr="00E853D4">
              <w:rPr>
                <w:sz w:val="16"/>
                <w:szCs w:val="16"/>
              </w:rPr>
              <w:t xml:space="preserve"> </w:t>
            </w:r>
            <w:r w:rsidRPr="00E853D4">
              <w:rPr>
                <w:sz w:val="16"/>
                <w:szCs w:val="16"/>
              </w:rPr>
              <w:t>a</w:t>
            </w:r>
            <w:r w:rsidR="00B87479" w:rsidRPr="00E853D4">
              <w:rPr>
                <w:sz w:val="16"/>
                <w:szCs w:val="16"/>
              </w:rPr>
              <w:t xml:space="preserve"> atteint l’âge de 15 ans et un jour</w:t>
            </w:r>
            <w:r w:rsidRPr="00E853D4">
              <w:rPr>
                <w:sz w:val="16"/>
                <w:szCs w:val="16"/>
              </w:rPr>
              <w:t>.</w:t>
            </w:r>
          </w:p>
          <w:p w14:paraId="65F461B5" w14:textId="732434C1" w:rsidR="00E853D4" w:rsidRPr="00E853D4" w:rsidRDefault="00E853D4" w:rsidP="00E853D4">
            <w:pPr>
              <w:rPr>
                <w:rFonts w:ascii="Times New Roman" w:eastAsia="Times New Roman" w:hAnsi="Symbol" w:cs="Times New Roman"/>
                <w:b/>
                <w:bCs/>
                <w:sz w:val="16"/>
                <w:szCs w:val="16"/>
                <w:lang w:eastAsia="fr-FR"/>
              </w:rPr>
            </w:pPr>
            <w:r w:rsidRPr="00E853D4">
              <w:rPr>
                <w:b/>
                <w:bCs/>
                <w:sz w:val="16"/>
                <w:szCs w:val="16"/>
              </w:rPr>
              <w:t xml:space="preserve"> </w:t>
            </w:r>
            <w:r w:rsidR="00CA2082" w:rsidRPr="00E853D4">
              <w:rPr>
                <w:b/>
                <w:bCs/>
                <w:sz w:val="16"/>
                <w:szCs w:val="16"/>
              </w:rPr>
              <w:t>Sans lim</w:t>
            </w:r>
            <w:r w:rsidRPr="00E853D4">
              <w:rPr>
                <w:b/>
                <w:bCs/>
                <w:sz w:val="16"/>
                <w:szCs w:val="16"/>
              </w:rPr>
              <w:t xml:space="preserve">ite d’âge </w:t>
            </w:r>
            <w:r w:rsidRPr="00E853D4">
              <w:rPr>
                <w:rFonts w:ascii="Times New Roman" w:eastAsia="Times New Roman" w:hAnsi="Symbol" w:cs="Times New Roman"/>
                <w:b/>
                <w:bCs/>
                <w:sz w:val="16"/>
                <w:szCs w:val="16"/>
                <w:lang w:eastAsia="fr-FR"/>
              </w:rPr>
              <w:t xml:space="preserve"> </w:t>
            </w:r>
          </w:p>
          <w:p w14:paraId="7E0D8DD9" w14:textId="0A2D8B7A" w:rsidR="00E853D4" w:rsidRPr="00E853D4" w:rsidRDefault="00E853D4" w:rsidP="00E853D4">
            <w:pPr>
              <w:rPr>
                <w:sz w:val="16"/>
                <w:szCs w:val="16"/>
              </w:rPr>
            </w:pPr>
            <w:r w:rsidRPr="00E853D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-L</w:t>
            </w:r>
            <w:r w:rsidRPr="00E853D4">
              <w:rPr>
                <w:sz w:val="16"/>
                <w:szCs w:val="16"/>
              </w:rPr>
              <w:t xml:space="preserve">’apprenti a la qualité de travailleur handicapé,  </w:t>
            </w:r>
          </w:p>
          <w:p w14:paraId="6907CAB2" w14:textId="0FA9E485" w:rsidR="00E853D4" w:rsidRPr="00E853D4" w:rsidRDefault="00E853D4" w:rsidP="00E853D4">
            <w:pPr>
              <w:rPr>
                <w:sz w:val="16"/>
                <w:szCs w:val="16"/>
              </w:rPr>
            </w:pPr>
            <w:r w:rsidRPr="00E853D4">
              <w:rPr>
                <w:sz w:val="16"/>
                <w:szCs w:val="16"/>
              </w:rPr>
              <w:t xml:space="preserve">- l’apprenti a un projet de création ou de reprise d'entreprise nécessitant d'obtenir un diplôme ou titre précis,  </w:t>
            </w:r>
          </w:p>
          <w:p w14:paraId="6F8FC64A" w14:textId="170BAE1B" w:rsidR="00E853D4" w:rsidRPr="00E853D4" w:rsidRDefault="00E853D4" w:rsidP="00E853D4">
            <w:pPr>
              <w:rPr>
                <w:sz w:val="18"/>
                <w:szCs w:val="18"/>
              </w:rPr>
            </w:pPr>
            <w:r w:rsidRPr="00E853D4">
              <w:rPr>
                <w:sz w:val="16"/>
                <w:szCs w:val="16"/>
              </w:rPr>
              <w:t xml:space="preserve">-l’apprenti est inscrit en tant que sportif de haut niveau sur la </w:t>
            </w:r>
            <w:hyperlink r:id="rId9" w:tgtFrame="_blank" w:tooltip="Je consulte la liste sur sports.gouv.fr" w:history="1">
              <w:r w:rsidRPr="00E853D4">
                <w:rPr>
                  <w:sz w:val="16"/>
                  <w:szCs w:val="16"/>
                </w:rPr>
                <w:t>liste nationale</w:t>
              </w:r>
            </w:hyperlink>
            <w:r w:rsidRPr="00E853D4">
              <w:rPr>
                <w:sz w:val="16"/>
                <w:szCs w:val="16"/>
              </w:rPr>
              <w:t>.</w:t>
            </w:r>
            <w:r w:rsidRPr="00E853D4">
              <w:rPr>
                <w:sz w:val="18"/>
                <w:szCs w:val="18"/>
              </w:rPr>
              <w:t> </w:t>
            </w:r>
          </w:p>
        </w:tc>
        <w:tc>
          <w:tcPr>
            <w:tcW w:w="5358" w:type="dxa"/>
          </w:tcPr>
          <w:p w14:paraId="54DD1A0E" w14:textId="77777777" w:rsidR="00CA2082" w:rsidRPr="00E853D4" w:rsidRDefault="00CA2082" w:rsidP="00B87479">
            <w:pPr>
              <w:contextualSpacing/>
              <w:rPr>
                <w:b/>
                <w:bCs/>
                <w:sz w:val="16"/>
                <w:szCs w:val="16"/>
              </w:rPr>
            </w:pPr>
            <w:r w:rsidRPr="00E853D4">
              <w:rPr>
                <w:b/>
                <w:bCs/>
                <w:sz w:val="16"/>
                <w:szCs w:val="16"/>
              </w:rPr>
              <w:t>Allongements jusqu’à 35 ans révolus dans deux cas :</w:t>
            </w:r>
          </w:p>
          <w:p w14:paraId="6B82D026" w14:textId="2A05C132" w:rsidR="00CA2082" w:rsidRPr="00E853D4" w:rsidRDefault="00E853D4" w:rsidP="00B87479">
            <w:pPr>
              <w:contextualSpacing/>
              <w:rPr>
                <w:sz w:val="16"/>
                <w:szCs w:val="16"/>
              </w:rPr>
            </w:pPr>
            <w:r w:rsidRPr="00E853D4">
              <w:rPr>
                <w:rStyle w:val="lev"/>
                <w:b w:val="0"/>
                <w:bCs w:val="0"/>
                <w:sz w:val="16"/>
                <w:szCs w:val="16"/>
              </w:rPr>
              <w:t>-</w:t>
            </w:r>
            <w:r w:rsidR="00CA2082" w:rsidRPr="00E853D4">
              <w:rPr>
                <w:rStyle w:val="lev"/>
                <w:b w:val="0"/>
                <w:bCs w:val="0"/>
                <w:sz w:val="16"/>
                <w:szCs w:val="16"/>
              </w:rPr>
              <w:t xml:space="preserve">Si le nouveau contrat ou la nouvelle période d’apprentissage fait directement suite à un précédent contrat ou période d’apprentissage, et qu’il permet </w:t>
            </w:r>
            <w:r w:rsidR="00CA2082" w:rsidRPr="00E853D4">
              <w:rPr>
                <w:sz w:val="16"/>
                <w:szCs w:val="16"/>
              </w:rPr>
              <w:t>d’obtenir un diplôme de niveau supérieur à celui déjà acquis</w:t>
            </w:r>
            <w:r w:rsidR="00CA2082" w:rsidRPr="00E853D4">
              <w:rPr>
                <w:b/>
                <w:bCs/>
                <w:sz w:val="16"/>
                <w:szCs w:val="16"/>
              </w:rPr>
              <w:t>.</w:t>
            </w:r>
            <w:r w:rsidR="00CA2082" w:rsidRPr="00E853D4">
              <w:rPr>
                <w:sz w:val="16"/>
                <w:szCs w:val="16"/>
              </w:rPr>
              <w:t xml:space="preserve"> </w:t>
            </w:r>
          </w:p>
          <w:p w14:paraId="4C29146D" w14:textId="780236DC" w:rsidR="00CA2082" w:rsidRDefault="00E853D4" w:rsidP="00B87479">
            <w:pPr>
              <w:contextualSpacing/>
              <w:rPr>
                <w:sz w:val="16"/>
                <w:szCs w:val="16"/>
              </w:rPr>
            </w:pPr>
            <w:r w:rsidRPr="00E853D4">
              <w:rPr>
                <w:sz w:val="16"/>
                <w:szCs w:val="16"/>
              </w:rPr>
              <w:t>-</w:t>
            </w:r>
            <w:r w:rsidR="00CA2082" w:rsidRPr="00E853D4">
              <w:rPr>
                <w:sz w:val="16"/>
                <w:szCs w:val="16"/>
              </w:rPr>
              <w:t>En cas de rupture du contrat pour des raisons indépendantes de la volonté de l’apprenti</w:t>
            </w:r>
            <w:r w:rsidRPr="00E853D4">
              <w:rPr>
                <w:sz w:val="16"/>
                <w:szCs w:val="16"/>
              </w:rPr>
              <w:t>.</w:t>
            </w:r>
          </w:p>
          <w:p w14:paraId="07FF9D2C" w14:textId="77777777" w:rsidR="00D05EA7" w:rsidRPr="00E853D4" w:rsidRDefault="00D05EA7" w:rsidP="00B87479">
            <w:pPr>
              <w:contextualSpacing/>
              <w:rPr>
                <w:sz w:val="16"/>
                <w:szCs w:val="16"/>
              </w:rPr>
            </w:pPr>
          </w:p>
          <w:p w14:paraId="58A1BFBC" w14:textId="37347ABE" w:rsidR="00CA2082" w:rsidRPr="00E853D4" w:rsidRDefault="00CA2082" w:rsidP="00B87479">
            <w:pPr>
              <w:contextualSpacing/>
              <w:rPr>
                <w:rStyle w:val="lev"/>
                <w:sz w:val="16"/>
                <w:szCs w:val="16"/>
              </w:rPr>
            </w:pPr>
            <w:r w:rsidRPr="00E853D4">
              <w:rPr>
                <w:rStyle w:val="lev"/>
                <w:sz w:val="16"/>
                <w:szCs w:val="16"/>
              </w:rPr>
              <w:t xml:space="preserve">Prolongation </w:t>
            </w:r>
            <w:r w:rsidR="00E853D4" w:rsidRPr="00E853D4">
              <w:rPr>
                <w:rStyle w:val="lev"/>
                <w:sz w:val="16"/>
                <w:szCs w:val="16"/>
              </w:rPr>
              <w:t xml:space="preserve">suite à l’échec à l’examen </w:t>
            </w:r>
          </w:p>
          <w:p w14:paraId="79B6F173" w14:textId="5F0186EB" w:rsidR="00CA2082" w:rsidRPr="00CA2082" w:rsidRDefault="00CA2082" w:rsidP="00B87479">
            <w:pPr>
              <w:contextualSpacing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1D796904" w14:textId="77777777" w:rsidR="00950E42" w:rsidRDefault="00B87479" w:rsidP="00DC655B">
      <w:pPr>
        <w:spacing w:after="0" w:line="240" w:lineRule="auto"/>
        <w:rPr>
          <w:sz w:val="16"/>
          <w:szCs w:val="16"/>
        </w:rPr>
      </w:pPr>
      <w:r w:rsidRPr="007A6213">
        <w:rPr>
          <w:b/>
          <w:bCs/>
          <w:color w:val="FF0000"/>
          <w:sz w:val="16"/>
          <w:szCs w:val="16"/>
        </w:rPr>
        <w:t>Bon à savoir</w:t>
      </w:r>
      <w:r w:rsidR="007A6213">
        <w:rPr>
          <w:rStyle w:val="lev"/>
          <w:sz w:val="20"/>
          <w:szCs w:val="20"/>
        </w:rPr>
        <w:t xml:space="preserve"> : </w:t>
      </w:r>
      <w:r w:rsidR="00950E42" w:rsidRPr="00950E42">
        <w:rPr>
          <w:rStyle w:val="lev"/>
          <w:b w:val="0"/>
          <w:bCs w:val="0"/>
          <w:sz w:val="16"/>
          <w:szCs w:val="16"/>
        </w:rPr>
        <w:t>pour plus d’information,</w:t>
      </w:r>
      <w:r w:rsidR="00950E42">
        <w:rPr>
          <w:rStyle w:val="lev"/>
          <w:sz w:val="20"/>
          <w:szCs w:val="20"/>
        </w:rPr>
        <w:t xml:space="preserve"> </w:t>
      </w:r>
      <w:r w:rsidR="00C80AF5" w:rsidRPr="00BE70D5">
        <w:rPr>
          <w:sz w:val="16"/>
          <w:szCs w:val="16"/>
        </w:rPr>
        <w:t xml:space="preserve">le Ministère du Travail et de l'Emploi, en partenariat avec l’AGEFIPH et le FIHFP, a publié </w:t>
      </w:r>
      <w:hyperlink r:id="rId10" w:history="1">
        <w:r w:rsidR="00C80AF5" w:rsidRPr="00BE70D5">
          <w:rPr>
            <w:sz w:val="16"/>
            <w:szCs w:val="16"/>
          </w:rPr>
          <w:t>un guide sur l’apprentissage &amp; le handicap</w:t>
        </w:r>
      </w:hyperlink>
      <w:r w:rsidR="00C80AF5" w:rsidRPr="00BE70D5">
        <w:rPr>
          <w:sz w:val="16"/>
          <w:szCs w:val="16"/>
        </w:rPr>
        <w:t xml:space="preserve"> à destination des employeurs, des CFA et des personnes en situation de handicap</w:t>
      </w:r>
      <w:r w:rsidR="00950E42">
        <w:rPr>
          <w:sz w:val="16"/>
          <w:szCs w:val="16"/>
        </w:rPr>
        <w:t xml:space="preserve"> consultable sur </w:t>
      </w:r>
    </w:p>
    <w:p w14:paraId="1CACEC03" w14:textId="0C3B5C37" w:rsidR="00DC655B" w:rsidRPr="00FD1DE2" w:rsidRDefault="00B763E3" w:rsidP="00DC655B">
      <w:pPr>
        <w:spacing w:after="0" w:line="240" w:lineRule="auto"/>
        <w:rPr>
          <w:i/>
          <w:iCs/>
          <w:color w:val="2F5496" w:themeColor="accent1" w:themeShade="BF"/>
          <w:sz w:val="16"/>
          <w:szCs w:val="16"/>
          <w:u w:val="single"/>
        </w:rPr>
      </w:pPr>
      <w:hyperlink r:id="rId11" w:history="1">
        <w:r w:rsidR="003059C9" w:rsidRPr="006D1E65">
          <w:rPr>
            <w:rStyle w:val="Lienhypertexte"/>
            <w:i/>
            <w:iCs/>
            <w:color w:val="034990" w:themeColor="hyperlink" w:themeShade="BF"/>
            <w:sz w:val="16"/>
            <w:szCs w:val="16"/>
          </w:rPr>
          <w:t>https://travail-emploi.gouv.fr/sites/travail-emploi/files/2024-05/guideapprentissage_handicap_0.pdf</w:t>
        </w:r>
      </w:hyperlink>
      <w:r w:rsidR="003059C9">
        <w:rPr>
          <w:i/>
          <w:iCs/>
          <w:color w:val="2F5496" w:themeColor="accent1" w:themeShade="BF"/>
          <w:sz w:val="16"/>
          <w:szCs w:val="16"/>
        </w:rPr>
        <w:t xml:space="preserve">  </w:t>
      </w:r>
    </w:p>
    <w:p w14:paraId="14AF6145" w14:textId="77777777" w:rsidR="00C80AF5" w:rsidRPr="00BE70D5" w:rsidRDefault="00C80AF5" w:rsidP="00DC655B">
      <w:pPr>
        <w:spacing w:after="0" w:line="240" w:lineRule="auto"/>
        <w:rPr>
          <w:sz w:val="16"/>
          <w:szCs w:val="16"/>
        </w:rPr>
      </w:pPr>
    </w:p>
    <w:p w14:paraId="45713FEC" w14:textId="08DA49F8" w:rsidR="00DC655B" w:rsidRPr="00344C5C" w:rsidRDefault="00C80AF5" w:rsidP="00C80AF5">
      <w:pPr>
        <w:spacing w:after="0" w:line="240" w:lineRule="auto"/>
        <w:rPr>
          <w:b/>
          <w:bCs/>
          <w:color w:val="2F5496" w:themeColor="accent1" w:themeShade="BF"/>
        </w:rPr>
      </w:pPr>
      <w:r w:rsidRPr="00344C5C">
        <w:rPr>
          <w:b/>
          <w:bCs/>
          <w:color w:val="2F5496" w:themeColor="accent1" w:themeShade="BF"/>
        </w:rPr>
        <w:t>Conditions pour devenir Maître d’</w:t>
      </w:r>
      <w:r w:rsidR="00950E42">
        <w:rPr>
          <w:b/>
          <w:bCs/>
          <w:color w:val="2F5496" w:themeColor="accent1" w:themeShade="BF"/>
        </w:rPr>
        <w:t>A</w:t>
      </w:r>
      <w:r w:rsidRPr="00344C5C">
        <w:rPr>
          <w:b/>
          <w:bCs/>
          <w:color w:val="2F5496" w:themeColor="accent1" w:themeShade="BF"/>
        </w:rPr>
        <w:t xml:space="preserve">pprentissage </w:t>
      </w:r>
    </w:p>
    <w:p w14:paraId="7084BAAF" w14:textId="0689E494" w:rsidR="00C80AF5" w:rsidRPr="00C80AF5" w:rsidRDefault="00C80AF5" w:rsidP="00C80A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</w:t>
      </w:r>
      <w:r w:rsidRPr="00C80AF5">
        <w:rPr>
          <w:sz w:val="18"/>
          <w:szCs w:val="18"/>
        </w:rPr>
        <w:t xml:space="preserve">Être titulaire d'un diplôme ou d'un titre relevant du domaine professionnel correspondant à la finalité du diplôme ou du titre préparé par l'apprenti </w:t>
      </w:r>
      <w:r w:rsidR="00950E42">
        <w:rPr>
          <w:sz w:val="18"/>
          <w:szCs w:val="18"/>
        </w:rPr>
        <w:t>et</w:t>
      </w:r>
      <w:r w:rsidRPr="00C80AF5">
        <w:rPr>
          <w:sz w:val="18"/>
          <w:szCs w:val="18"/>
        </w:rPr>
        <w:t xml:space="preserve"> d'un niveau au moins équivalent</w:t>
      </w:r>
      <w:r w:rsidR="00950E42">
        <w:rPr>
          <w:sz w:val="18"/>
          <w:szCs w:val="18"/>
        </w:rPr>
        <w:t xml:space="preserve"> et </w:t>
      </w:r>
      <w:r w:rsidRPr="00C80AF5">
        <w:rPr>
          <w:sz w:val="18"/>
          <w:szCs w:val="18"/>
        </w:rPr>
        <w:t>justifi</w:t>
      </w:r>
      <w:r w:rsidR="00950E42">
        <w:rPr>
          <w:sz w:val="18"/>
          <w:szCs w:val="18"/>
        </w:rPr>
        <w:t>er</w:t>
      </w:r>
      <w:r w:rsidRPr="00C80AF5">
        <w:rPr>
          <w:sz w:val="18"/>
          <w:szCs w:val="18"/>
        </w:rPr>
        <w:t xml:space="preserve"> d'une année d'exercice d'une activité professionnelle en rapport avec la qualification préparée par l'apprenti </w:t>
      </w:r>
    </w:p>
    <w:p w14:paraId="2EFABD3E" w14:textId="2852DC12" w:rsidR="00C80AF5" w:rsidRDefault="00C80AF5" w:rsidP="00C80AF5">
      <w:pPr>
        <w:spacing w:after="0" w:line="240" w:lineRule="auto"/>
        <w:rPr>
          <w:sz w:val="18"/>
          <w:szCs w:val="18"/>
        </w:rPr>
      </w:pPr>
      <w:r w:rsidRPr="00C80AF5">
        <w:rPr>
          <w:sz w:val="18"/>
          <w:szCs w:val="18"/>
        </w:rPr>
        <w:t xml:space="preserve">- </w:t>
      </w:r>
      <w:r w:rsidR="002648DA">
        <w:rPr>
          <w:sz w:val="18"/>
          <w:szCs w:val="18"/>
        </w:rPr>
        <w:t>Ou p</w:t>
      </w:r>
      <w:r w:rsidR="000F4ABA" w:rsidRPr="00C80AF5">
        <w:rPr>
          <w:sz w:val="18"/>
          <w:szCs w:val="18"/>
        </w:rPr>
        <w:t>ouvoir</w:t>
      </w:r>
      <w:r w:rsidRPr="00C80AF5">
        <w:rPr>
          <w:sz w:val="18"/>
          <w:szCs w:val="18"/>
        </w:rPr>
        <w:t xml:space="preserve"> justifier de deux années d'exercice d'une activité professionnelle en rapport avec la qualification préparée par l'apprenti.</w:t>
      </w:r>
    </w:p>
    <w:p w14:paraId="7218CDBE" w14:textId="3C99E4AA" w:rsidR="00B03D17" w:rsidRDefault="00B03D17" w:rsidP="00C80AF5">
      <w:pPr>
        <w:spacing w:after="0" w:line="240" w:lineRule="auto"/>
        <w:rPr>
          <w:sz w:val="18"/>
          <w:szCs w:val="18"/>
        </w:rPr>
      </w:pPr>
    </w:p>
    <w:p w14:paraId="408D2AAA" w14:textId="5F656C2D" w:rsidR="00EB0B72" w:rsidRDefault="00950E42" w:rsidP="00EB0B72">
      <w:pPr>
        <w:spacing w:after="0" w:line="240" w:lineRule="auto"/>
        <w:rPr>
          <w:sz w:val="18"/>
          <w:szCs w:val="18"/>
        </w:rPr>
      </w:pPr>
      <w:r>
        <w:rPr>
          <w:b/>
          <w:bCs/>
          <w:color w:val="2F5496" w:themeColor="accent1" w:themeShade="BF"/>
        </w:rPr>
        <w:t>Conditions d’obtention de l’a</w:t>
      </w:r>
      <w:r w:rsidR="00B03D17" w:rsidRPr="00B03D17">
        <w:rPr>
          <w:b/>
          <w:bCs/>
          <w:color w:val="2F5496" w:themeColor="accent1" w:themeShade="BF"/>
        </w:rPr>
        <w:t>ide de l</w:t>
      </w:r>
      <w:r>
        <w:rPr>
          <w:b/>
          <w:bCs/>
          <w:color w:val="2F5496" w:themeColor="accent1" w:themeShade="BF"/>
        </w:rPr>
        <w:t>’É</w:t>
      </w:r>
      <w:r w:rsidR="00B03D17" w:rsidRPr="00B03D17">
        <w:rPr>
          <w:b/>
          <w:bCs/>
          <w:color w:val="2F5496" w:themeColor="accent1" w:themeShade="BF"/>
        </w:rPr>
        <w:t>tat</w:t>
      </w:r>
      <w:r w:rsidR="00B03D17" w:rsidRPr="00455208">
        <w:rPr>
          <w:sz w:val="18"/>
          <w:szCs w:val="18"/>
        </w:rPr>
        <w:t> :</w:t>
      </w:r>
      <w:r w:rsidR="008F5F0C">
        <w:rPr>
          <w:sz w:val="18"/>
          <w:szCs w:val="18"/>
        </w:rPr>
        <w:t xml:space="preserve"> décret</w:t>
      </w:r>
      <w:r w:rsidR="007C5A73">
        <w:rPr>
          <w:sz w:val="18"/>
          <w:szCs w:val="18"/>
        </w:rPr>
        <w:t xml:space="preserve"> n°2026-168 du 6 mars 2026</w:t>
      </w:r>
    </w:p>
    <w:p w14:paraId="15940970" w14:textId="44A72E25" w:rsidR="00E853D4" w:rsidRDefault="004E3633" w:rsidP="00EB0B72">
      <w:pPr>
        <w:spacing w:after="0" w:line="240" w:lineRule="auto"/>
        <w:rPr>
          <w:sz w:val="18"/>
          <w:szCs w:val="18"/>
        </w:rPr>
      </w:pPr>
      <w:r>
        <w:t>Ces nouveaux montants s’appliquent aux contrats d’apprentissage conclus à partir du 8 mars 2026 et débutant avant le 1</w:t>
      </w:r>
      <w:r>
        <w:rPr>
          <w:vertAlign w:val="superscript"/>
        </w:rPr>
        <w:t>er</w:t>
      </w:r>
      <w:r>
        <w:t> janvier 2027.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ED2CB0" w:rsidRPr="009417A5" w14:paraId="62868DDA" w14:textId="77777777" w:rsidTr="003419C2">
        <w:tc>
          <w:tcPr>
            <w:tcW w:w="6374" w:type="dxa"/>
            <w:shd w:val="clear" w:color="auto" w:fill="F2F2F2" w:themeFill="background1" w:themeFillShade="F2"/>
          </w:tcPr>
          <w:p w14:paraId="531706D7" w14:textId="77777777" w:rsidR="00ED2CB0" w:rsidRPr="009417A5" w:rsidRDefault="00ED2CB0" w:rsidP="00886F8A">
            <w:pPr>
              <w:rPr>
                <w:b/>
                <w:bCs/>
                <w:sz w:val="18"/>
                <w:szCs w:val="18"/>
              </w:rPr>
            </w:pPr>
            <w:r w:rsidRPr="009417A5">
              <w:rPr>
                <w:b/>
                <w:bCs/>
                <w:sz w:val="18"/>
                <w:szCs w:val="18"/>
              </w:rPr>
              <w:t xml:space="preserve">Entreprise de moins </w:t>
            </w:r>
            <w:r>
              <w:rPr>
                <w:b/>
                <w:bCs/>
                <w:sz w:val="18"/>
                <w:szCs w:val="18"/>
              </w:rPr>
              <w:t xml:space="preserve">de </w:t>
            </w:r>
            <w:r w:rsidRPr="009417A5">
              <w:rPr>
                <w:b/>
                <w:bCs/>
                <w:sz w:val="18"/>
                <w:szCs w:val="18"/>
              </w:rPr>
              <w:t xml:space="preserve">250 salariés 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356E462A" w14:textId="77777777" w:rsidR="00ED2CB0" w:rsidRPr="009417A5" w:rsidRDefault="00ED2CB0" w:rsidP="00886F8A">
            <w:pPr>
              <w:rPr>
                <w:b/>
                <w:bCs/>
                <w:sz w:val="18"/>
                <w:szCs w:val="18"/>
              </w:rPr>
            </w:pPr>
            <w:r w:rsidRPr="009417A5">
              <w:rPr>
                <w:b/>
                <w:bCs/>
                <w:sz w:val="18"/>
                <w:szCs w:val="18"/>
              </w:rPr>
              <w:t xml:space="preserve">Entreprise de plus de 250 salariés </w:t>
            </w:r>
          </w:p>
        </w:tc>
      </w:tr>
      <w:tr w:rsidR="00ED2CB0" w:rsidRPr="0066029A" w14:paraId="2D069148" w14:textId="77777777" w:rsidTr="004E3633">
        <w:trPr>
          <w:trHeight w:val="634"/>
        </w:trPr>
        <w:tc>
          <w:tcPr>
            <w:tcW w:w="6374" w:type="dxa"/>
          </w:tcPr>
          <w:p w14:paraId="65C95DDE" w14:textId="77777777" w:rsidR="004E3633" w:rsidRDefault="00ED2CB0" w:rsidP="004E3633">
            <w:pPr>
              <w:rPr>
                <w:sz w:val="16"/>
                <w:szCs w:val="16"/>
              </w:rPr>
            </w:pPr>
            <w:r w:rsidRPr="000A1960">
              <w:rPr>
                <w:b/>
                <w:bCs/>
                <w:sz w:val="18"/>
                <w:szCs w:val="18"/>
              </w:rPr>
              <w:t>Niveau 3 et 4</w:t>
            </w:r>
            <w:r>
              <w:rPr>
                <w:sz w:val="18"/>
                <w:szCs w:val="18"/>
              </w:rPr>
              <w:t xml:space="preserve"> : 5000 </w:t>
            </w:r>
            <w:proofErr w:type="gramStart"/>
            <w:r>
              <w:rPr>
                <w:sz w:val="18"/>
                <w:szCs w:val="18"/>
              </w:rPr>
              <w:t xml:space="preserve">euros </w:t>
            </w:r>
            <w:r w:rsidR="004E3633" w:rsidRPr="003419C2">
              <w:rPr>
                <w:sz w:val="18"/>
                <w:szCs w:val="18"/>
              </w:rPr>
              <w:t>.</w:t>
            </w:r>
            <w:proofErr w:type="gramEnd"/>
            <w:r w:rsidR="004E3633" w:rsidRPr="00CA6C9C">
              <w:rPr>
                <w:sz w:val="16"/>
                <w:szCs w:val="16"/>
              </w:rPr>
              <w:t xml:space="preserve"> </w:t>
            </w:r>
          </w:p>
          <w:p w14:paraId="217D8C29" w14:textId="42BA3F7F" w:rsidR="00ED2CB0" w:rsidRPr="00CA6C9C" w:rsidRDefault="004E3633" w:rsidP="00886F8A">
            <w:pPr>
              <w:rPr>
                <w:sz w:val="18"/>
                <w:szCs w:val="18"/>
              </w:rPr>
            </w:pPr>
            <w:r w:rsidRPr="003419C2">
              <w:rPr>
                <w:sz w:val="16"/>
                <w:szCs w:val="16"/>
              </w:rPr>
              <w:t xml:space="preserve">Le montant de l’aide est maintenu à 6 000 € pour l’embauche d’apprentis en situation de handicap et reste cumulable avec les </w:t>
            </w:r>
            <w:hyperlink r:id="rId12" w:history="1">
              <w:r w:rsidRPr="003419C2">
                <w:rPr>
                  <w:sz w:val="16"/>
                  <w:szCs w:val="16"/>
                </w:rPr>
                <w:t>aides spécifiques</w:t>
              </w:r>
            </w:hyperlink>
            <w:r w:rsidRPr="003419C2">
              <w:rPr>
                <w:sz w:val="16"/>
                <w:szCs w:val="16"/>
              </w:rPr>
              <w:t xml:space="preserve"> qui leurs sont destinées</w:t>
            </w:r>
          </w:p>
        </w:tc>
        <w:tc>
          <w:tcPr>
            <w:tcW w:w="4082" w:type="dxa"/>
          </w:tcPr>
          <w:p w14:paraId="6876B4E5" w14:textId="5A2D6113" w:rsidR="00ED2CB0" w:rsidRPr="0066029A" w:rsidRDefault="00ED2CB0" w:rsidP="00886F8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0A19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Niveau 3 et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 : 2000 euros </w:t>
            </w:r>
          </w:p>
        </w:tc>
      </w:tr>
      <w:tr w:rsidR="00ED2CB0" w:rsidRPr="0066029A" w14:paraId="7E89182F" w14:textId="77777777" w:rsidTr="003419C2">
        <w:trPr>
          <w:trHeight w:val="137"/>
        </w:trPr>
        <w:tc>
          <w:tcPr>
            <w:tcW w:w="6374" w:type="dxa"/>
          </w:tcPr>
          <w:p w14:paraId="718E480A" w14:textId="2912429A" w:rsidR="00ED2CB0" w:rsidRPr="009417A5" w:rsidRDefault="00ED2CB0" w:rsidP="00886F8A">
            <w:pPr>
              <w:rPr>
                <w:sz w:val="18"/>
                <w:szCs w:val="18"/>
              </w:rPr>
            </w:pPr>
            <w:r w:rsidRPr="000A1960">
              <w:rPr>
                <w:b/>
                <w:bCs/>
                <w:sz w:val="18"/>
                <w:szCs w:val="18"/>
              </w:rPr>
              <w:t>Niveau 5</w:t>
            </w:r>
            <w:r>
              <w:rPr>
                <w:sz w:val="18"/>
                <w:szCs w:val="18"/>
              </w:rPr>
              <w:t> : 4500 euros</w:t>
            </w:r>
          </w:p>
        </w:tc>
        <w:tc>
          <w:tcPr>
            <w:tcW w:w="4082" w:type="dxa"/>
          </w:tcPr>
          <w:p w14:paraId="7A6E8FA1" w14:textId="19F208EB" w:rsidR="00ED2CB0" w:rsidRPr="0066029A" w:rsidRDefault="00ED2CB0" w:rsidP="00886F8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0A19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Niveau 5 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1500 euros </w:t>
            </w:r>
          </w:p>
        </w:tc>
      </w:tr>
      <w:tr w:rsidR="00ED2CB0" w:rsidRPr="0066029A" w14:paraId="3299651C" w14:textId="77777777" w:rsidTr="003419C2">
        <w:trPr>
          <w:trHeight w:val="168"/>
        </w:trPr>
        <w:tc>
          <w:tcPr>
            <w:tcW w:w="6374" w:type="dxa"/>
          </w:tcPr>
          <w:p w14:paraId="096B1E9D" w14:textId="754CF23D" w:rsidR="00ED2CB0" w:rsidRDefault="00ED2CB0" w:rsidP="00886F8A">
            <w:pPr>
              <w:rPr>
                <w:sz w:val="18"/>
                <w:szCs w:val="18"/>
              </w:rPr>
            </w:pPr>
            <w:r w:rsidRPr="000A1960">
              <w:rPr>
                <w:b/>
                <w:bCs/>
                <w:sz w:val="18"/>
                <w:szCs w:val="18"/>
              </w:rPr>
              <w:t>Niveau 6 et 7</w:t>
            </w:r>
            <w:r>
              <w:rPr>
                <w:sz w:val="18"/>
                <w:szCs w:val="18"/>
              </w:rPr>
              <w:t> : 2000 euros</w:t>
            </w:r>
          </w:p>
        </w:tc>
        <w:tc>
          <w:tcPr>
            <w:tcW w:w="4082" w:type="dxa"/>
          </w:tcPr>
          <w:p w14:paraId="6D82162B" w14:textId="2ED2DCF4" w:rsidR="00ED2CB0" w:rsidRDefault="00ED2CB0" w:rsidP="00886F8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0A19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Niveau 6 et 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: 750 euros</w:t>
            </w:r>
          </w:p>
        </w:tc>
      </w:tr>
    </w:tbl>
    <w:p w14:paraId="4B04A37A" w14:textId="31030B81" w:rsidR="00C80AF5" w:rsidRDefault="001A235A" w:rsidP="00C80AF5">
      <w:pPr>
        <w:spacing w:after="0" w:line="240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R</w:t>
      </w:r>
      <w:r w:rsidR="00C8472B" w:rsidRPr="00C342CA">
        <w:rPr>
          <w:b/>
          <w:bCs/>
          <w:color w:val="2F5496" w:themeColor="accent1" w:themeShade="BF"/>
        </w:rPr>
        <w:t xml:space="preserve">émunération </w:t>
      </w:r>
      <w:r>
        <w:rPr>
          <w:b/>
          <w:bCs/>
          <w:color w:val="2F5496" w:themeColor="accent1" w:themeShade="BF"/>
        </w:rPr>
        <w:t>m</w:t>
      </w:r>
      <w:r w:rsidR="00C8472B" w:rsidRPr="00C342CA">
        <w:rPr>
          <w:b/>
          <w:bCs/>
          <w:color w:val="2F5496" w:themeColor="accent1" w:themeShade="BF"/>
        </w:rPr>
        <w:t xml:space="preserve">ensuelle des apprentis </w:t>
      </w:r>
      <w:r>
        <w:rPr>
          <w:b/>
          <w:bCs/>
          <w:color w:val="2F5496" w:themeColor="accent1" w:themeShade="BF"/>
        </w:rPr>
        <w:t>(</w:t>
      </w:r>
      <w:r w:rsidR="00C8472B" w:rsidRPr="00C342CA">
        <w:rPr>
          <w:b/>
          <w:bCs/>
          <w:color w:val="2F5496" w:themeColor="accent1" w:themeShade="BF"/>
        </w:rPr>
        <w:t xml:space="preserve">sur la base de 35 </w:t>
      </w:r>
      <w:r w:rsidR="00FD1DE2" w:rsidRPr="00C342CA">
        <w:rPr>
          <w:b/>
          <w:bCs/>
          <w:color w:val="2F5496" w:themeColor="accent1" w:themeShade="BF"/>
        </w:rPr>
        <w:t>heur</w:t>
      </w:r>
      <w:r w:rsidR="00FD1DE2">
        <w:rPr>
          <w:b/>
          <w:bCs/>
          <w:color w:val="2F5496" w:themeColor="accent1" w:themeShade="BF"/>
        </w:rPr>
        <w:t>e</w:t>
      </w:r>
      <w:r w:rsidR="00FD1DE2" w:rsidRPr="00C342CA">
        <w:rPr>
          <w:b/>
          <w:bCs/>
          <w:color w:val="2F5496" w:themeColor="accent1" w:themeShade="BF"/>
        </w:rPr>
        <w:t>s</w:t>
      </w:r>
      <w:r>
        <w:rPr>
          <w:b/>
          <w:bCs/>
          <w:color w:val="2F5496" w:themeColor="accent1" w:themeShade="BF"/>
        </w:rPr>
        <w:t xml:space="preserve">- </w:t>
      </w:r>
      <w:r w:rsidR="002D4C82">
        <w:rPr>
          <w:b/>
          <w:bCs/>
          <w:color w:val="2F5496" w:themeColor="accent1" w:themeShade="BF"/>
        </w:rPr>
        <w:t>janvier 2025)</w:t>
      </w:r>
    </w:p>
    <w:p w14:paraId="0A800892" w14:textId="75268F2E" w:rsidR="00BE70D5" w:rsidRPr="00FD1DE2" w:rsidRDefault="002D4C82" w:rsidP="002D4C82">
      <w:pPr>
        <w:spacing w:after="0" w:line="240" w:lineRule="auto"/>
        <w:rPr>
          <w:rStyle w:val="Lienhypertexte"/>
          <w:i/>
          <w:iCs/>
          <w:color w:val="2F5496" w:themeColor="accent1" w:themeShade="BF"/>
          <w:sz w:val="16"/>
          <w:szCs w:val="16"/>
          <w:u w:val="none"/>
        </w:rPr>
      </w:pPr>
      <w:r w:rsidRPr="002D4C82">
        <w:rPr>
          <w:sz w:val="18"/>
          <w:szCs w:val="18"/>
        </w:rPr>
        <w:t>L'apprenti perçoit une rémunération correspondant à un pourcentage du Smic</w:t>
      </w:r>
      <w:r w:rsidR="001A235A">
        <w:rPr>
          <w:sz w:val="18"/>
          <w:szCs w:val="18"/>
        </w:rPr>
        <w:t xml:space="preserve">. </w:t>
      </w:r>
      <w:hyperlink r:id="rId13" w:history="1">
        <w:r w:rsidR="003059C9" w:rsidRPr="006D1E65">
          <w:rPr>
            <w:rStyle w:val="Lienhypertexte"/>
            <w:i/>
            <w:iCs/>
            <w:color w:val="034990" w:themeColor="hyperlink" w:themeShade="BF"/>
            <w:sz w:val="16"/>
            <w:szCs w:val="16"/>
          </w:rPr>
          <w:t>https://www.service-public.fr/particuliers/vosdroits/F2918</w:t>
        </w:r>
      </w:hyperlink>
      <w:r w:rsidR="003059C9">
        <w:rPr>
          <w:rStyle w:val="Lienhypertexte"/>
          <w:i/>
          <w:iCs/>
          <w:color w:val="2F5496" w:themeColor="accent1" w:themeShade="BF"/>
          <w:sz w:val="16"/>
          <w:szCs w:val="16"/>
          <w:u w:val="none"/>
        </w:rPr>
        <w:t xml:space="preserve"> </w:t>
      </w:r>
      <w:r w:rsidR="009A2CEE">
        <w:rPr>
          <w:rStyle w:val="Lienhypertexte"/>
          <w:i/>
          <w:iCs/>
          <w:color w:val="2F5496" w:themeColor="accent1" w:themeShade="BF"/>
          <w:sz w:val="16"/>
          <w:szCs w:val="16"/>
          <w:u w:val="non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2126"/>
        <w:gridCol w:w="2381"/>
      </w:tblGrid>
      <w:tr w:rsidR="001A235A" w14:paraId="1C7B991A" w14:textId="77777777" w:rsidTr="001A235A">
        <w:tc>
          <w:tcPr>
            <w:tcW w:w="1271" w:type="dxa"/>
            <w:shd w:val="clear" w:color="auto" w:fill="D9D9D9" w:themeFill="background1" w:themeFillShade="D9"/>
          </w:tcPr>
          <w:p w14:paraId="7250E234" w14:textId="57C305FA" w:rsidR="00C342CA" w:rsidRPr="00384BCF" w:rsidRDefault="00C342CA" w:rsidP="00C342CA">
            <w:pPr>
              <w:rPr>
                <w:b/>
                <w:bCs/>
                <w:sz w:val="16"/>
                <w:szCs w:val="16"/>
              </w:rPr>
            </w:pPr>
            <w:r w:rsidRPr="00384BCF">
              <w:rPr>
                <w:b/>
                <w:bCs/>
                <w:sz w:val="16"/>
                <w:szCs w:val="16"/>
              </w:rPr>
              <w:t xml:space="preserve">Situation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02D97B" w14:textId="00DFBC41" w:rsidR="00C342CA" w:rsidRPr="00384BCF" w:rsidRDefault="00C342CA" w:rsidP="00384BCF">
            <w:pPr>
              <w:jc w:val="center"/>
              <w:rPr>
                <w:b/>
                <w:bCs/>
                <w:sz w:val="18"/>
                <w:szCs w:val="18"/>
              </w:rPr>
            </w:pPr>
            <w:r w:rsidRPr="00384BCF">
              <w:rPr>
                <w:b/>
                <w:bCs/>
                <w:sz w:val="18"/>
                <w:szCs w:val="18"/>
              </w:rPr>
              <w:t>16 à 17 ans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5E0F70" w14:textId="430F01A8" w:rsidR="00C342CA" w:rsidRPr="00384BCF" w:rsidRDefault="00C342CA" w:rsidP="00384BCF">
            <w:pPr>
              <w:jc w:val="center"/>
              <w:rPr>
                <w:b/>
                <w:bCs/>
                <w:sz w:val="18"/>
                <w:szCs w:val="18"/>
              </w:rPr>
            </w:pPr>
            <w:r w:rsidRPr="00384BCF">
              <w:rPr>
                <w:b/>
                <w:bCs/>
                <w:sz w:val="18"/>
                <w:szCs w:val="18"/>
              </w:rPr>
              <w:t>18-20 ans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8307AA" w14:textId="3D0A5ACE" w:rsidR="00C342CA" w:rsidRPr="00384BCF" w:rsidRDefault="00C342CA" w:rsidP="00384BCF">
            <w:pPr>
              <w:jc w:val="center"/>
              <w:rPr>
                <w:b/>
                <w:bCs/>
                <w:sz w:val="18"/>
                <w:szCs w:val="18"/>
              </w:rPr>
            </w:pPr>
            <w:r w:rsidRPr="00384BCF">
              <w:rPr>
                <w:b/>
                <w:bCs/>
                <w:sz w:val="18"/>
                <w:szCs w:val="18"/>
              </w:rPr>
              <w:t>21-25 ans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0C9E5A4" w14:textId="645B38CC" w:rsidR="00C342CA" w:rsidRPr="00384BCF" w:rsidRDefault="00C342CA" w:rsidP="00384BCF">
            <w:pPr>
              <w:jc w:val="center"/>
              <w:rPr>
                <w:b/>
                <w:bCs/>
                <w:sz w:val="18"/>
                <w:szCs w:val="18"/>
              </w:rPr>
            </w:pPr>
            <w:r w:rsidRPr="00384BCF">
              <w:rPr>
                <w:b/>
                <w:bCs/>
                <w:sz w:val="18"/>
                <w:szCs w:val="18"/>
              </w:rPr>
              <w:t>26 ans et plus</w:t>
            </w:r>
          </w:p>
        </w:tc>
      </w:tr>
      <w:tr w:rsidR="001A235A" w14:paraId="537225BA" w14:textId="77777777" w:rsidTr="001A235A">
        <w:tc>
          <w:tcPr>
            <w:tcW w:w="1271" w:type="dxa"/>
          </w:tcPr>
          <w:p w14:paraId="4CAD29BA" w14:textId="7D95BB42" w:rsidR="00C342CA" w:rsidRPr="001A235A" w:rsidRDefault="00C342CA" w:rsidP="00C342CA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sz w:val="16"/>
                <w:szCs w:val="16"/>
              </w:rPr>
              <w:t>1</w:t>
            </w:r>
            <w:r w:rsidR="009A2CEE" w:rsidRPr="009A2CEE">
              <w:rPr>
                <w:rFonts w:cstheme="minorHAnsi"/>
                <w:sz w:val="16"/>
                <w:szCs w:val="16"/>
                <w:vertAlign w:val="superscript"/>
              </w:rPr>
              <w:t>è</w:t>
            </w:r>
            <w:r w:rsidRPr="001A235A">
              <w:rPr>
                <w:rFonts w:cstheme="minorHAnsi"/>
                <w:sz w:val="16"/>
                <w:szCs w:val="16"/>
                <w:vertAlign w:val="superscript"/>
              </w:rPr>
              <w:t>re</w:t>
            </w:r>
            <w:r w:rsidRPr="001A235A">
              <w:rPr>
                <w:rFonts w:cstheme="minorHAnsi"/>
                <w:sz w:val="16"/>
                <w:szCs w:val="16"/>
              </w:rPr>
              <w:t xml:space="preserve"> année</w:t>
            </w:r>
          </w:p>
        </w:tc>
        <w:tc>
          <w:tcPr>
            <w:tcW w:w="2268" w:type="dxa"/>
            <w:vAlign w:val="center"/>
          </w:tcPr>
          <w:p w14:paraId="2A268FA6" w14:textId="282F97CF" w:rsidR="00C342CA" w:rsidRPr="001A235A" w:rsidRDefault="00C342CA" w:rsidP="00C342CA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27%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410" w:type="dxa"/>
            <w:vAlign w:val="center"/>
          </w:tcPr>
          <w:p w14:paraId="2461AD4C" w14:textId="6C9F5A58" w:rsidR="00C342CA" w:rsidRPr="001A235A" w:rsidRDefault="00C342CA" w:rsidP="00C342CA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43%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126" w:type="dxa"/>
            <w:vAlign w:val="center"/>
          </w:tcPr>
          <w:p w14:paraId="5241F5DB" w14:textId="318F0A9C" w:rsidR="00C342CA" w:rsidRPr="001A235A" w:rsidRDefault="00C342CA" w:rsidP="00C342CA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53%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381" w:type="dxa"/>
            <w:vAlign w:val="center"/>
          </w:tcPr>
          <w:p w14:paraId="4781A3B5" w14:textId="5942D789" w:rsidR="00C342CA" w:rsidRPr="001A235A" w:rsidRDefault="00C342CA" w:rsidP="00384BC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1A23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100%</w:t>
            </w:r>
            <w:r w:rsidRPr="001A235A">
              <w:rPr>
                <w:rFonts w:asciiTheme="minorHAnsi" w:hAnsiTheme="minorHAnsi" w:cstheme="minorHAnsi"/>
                <w:sz w:val="16"/>
                <w:szCs w:val="16"/>
              </w:rPr>
              <w:t xml:space="preserve"> du </w:t>
            </w:r>
            <w:r w:rsidR="00384BCF" w:rsidRPr="001A235A">
              <w:rPr>
                <w:rFonts w:asciiTheme="minorHAnsi" w:hAnsiTheme="minorHAnsi" w:cstheme="minorHAnsi"/>
                <w:sz w:val="16"/>
                <w:szCs w:val="16"/>
              </w:rPr>
              <w:t>Smic</w:t>
            </w:r>
          </w:p>
        </w:tc>
      </w:tr>
      <w:tr w:rsidR="001A235A" w14:paraId="2FF5BA75" w14:textId="77777777" w:rsidTr="001A235A">
        <w:tc>
          <w:tcPr>
            <w:tcW w:w="1271" w:type="dxa"/>
          </w:tcPr>
          <w:p w14:paraId="5D1E3BA4" w14:textId="0FC21E9F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sz w:val="16"/>
                <w:szCs w:val="16"/>
              </w:rPr>
              <w:t>2</w:t>
            </w:r>
            <w:r w:rsidR="001A235A" w:rsidRPr="001A235A">
              <w:rPr>
                <w:rFonts w:cstheme="minorHAnsi"/>
                <w:sz w:val="16"/>
                <w:szCs w:val="16"/>
                <w:vertAlign w:val="superscript"/>
              </w:rPr>
              <w:t>ème</w:t>
            </w:r>
            <w:r w:rsidRPr="001A235A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1A235A">
              <w:rPr>
                <w:rFonts w:cstheme="minorHAnsi"/>
                <w:sz w:val="16"/>
                <w:szCs w:val="16"/>
              </w:rPr>
              <w:t>année</w:t>
            </w:r>
          </w:p>
        </w:tc>
        <w:tc>
          <w:tcPr>
            <w:tcW w:w="2268" w:type="dxa"/>
            <w:vAlign w:val="center"/>
          </w:tcPr>
          <w:p w14:paraId="6BE2F212" w14:textId="51D4D2A3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39%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410" w:type="dxa"/>
            <w:vAlign w:val="center"/>
          </w:tcPr>
          <w:p w14:paraId="7C6D812A" w14:textId="04D2D988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51%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126" w:type="dxa"/>
            <w:vAlign w:val="center"/>
          </w:tcPr>
          <w:p w14:paraId="1001265E" w14:textId="4A29EF22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61%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381" w:type="dxa"/>
            <w:vAlign w:val="center"/>
          </w:tcPr>
          <w:p w14:paraId="17298C3D" w14:textId="3FAC7580" w:rsidR="00384BCF" w:rsidRPr="001A235A" w:rsidRDefault="00384BCF" w:rsidP="00384BC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1A23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100%</w:t>
            </w:r>
            <w:r w:rsidRPr="001A235A">
              <w:rPr>
                <w:rFonts w:asciiTheme="minorHAnsi" w:hAnsiTheme="minorHAnsi" w:cstheme="minorHAnsi"/>
                <w:sz w:val="16"/>
                <w:szCs w:val="16"/>
              </w:rPr>
              <w:t xml:space="preserve"> du Smic</w:t>
            </w:r>
          </w:p>
        </w:tc>
      </w:tr>
      <w:tr w:rsidR="001A235A" w14:paraId="5CEA9A7D" w14:textId="77777777" w:rsidTr="001A235A">
        <w:tc>
          <w:tcPr>
            <w:tcW w:w="1271" w:type="dxa"/>
          </w:tcPr>
          <w:p w14:paraId="00FEDA1F" w14:textId="36CCA8AD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sz w:val="16"/>
                <w:szCs w:val="16"/>
              </w:rPr>
              <w:t>3</w:t>
            </w:r>
            <w:r w:rsidR="001A235A" w:rsidRPr="001A235A">
              <w:rPr>
                <w:rFonts w:cstheme="minorHAnsi"/>
                <w:sz w:val="16"/>
                <w:szCs w:val="16"/>
                <w:vertAlign w:val="superscript"/>
              </w:rPr>
              <w:t>ème</w:t>
            </w:r>
            <w:r w:rsidR="001A235A" w:rsidRPr="001A235A">
              <w:rPr>
                <w:rFonts w:cstheme="minorHAnsi"/>
                <w:sz w:val="16"/>
                <w:szCs w:val="16"/>
              </w:rPr>
              <w:t xml:space="preserve"> </w:t>
            </w:r>
            <w:r w:rsidRPr="001A235A">
              <w:rPr>
                <w:rFonts w:cstheme="minorHAnsi"/>
                <w:sz w:val="16"/>
                <w:szCs w:val="16"/>
              </w:rPr>
              <w:t>année</w:t>
            </w:r>
          </w:p>
        </w:tc>
        <w:tc>
          <w:tcPr>
            <w:tcW w:w="2268" w:type="dxa"/>
            <w:vAlign w:val="center"/>
          </w:tcPr>
          <w:p w14:paraId="4C0292E7" w14:textId="6AC7681D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55%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410" w:type="dxa"/>
            <w:vAlign w:val="center"/>
          </w:tcPr>
          <w:p w14:paraId="19CA983D" w14:textId="633E190E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67%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126" w:type="dxa"/>
            <w:vAlign w:val="center"/>
          </w:tcPr>
          <w:p w14:paraId="0C3F25D1" w14:textId="156AED0E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78%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  <w:tc>
          <w:tcPr>
            <w:tcW w:w="2381" w:type="dxa"/>
            <w:vAlign w:val="center"/>
          </w:tcPr>
          <w:p w14:paraId="6D9A8B9B" w14:textId="7EFB1FB0" w:rsidR="00384BCF" w:rsidRPr="001A235A" w:rsidRDefault="00384BCF" w:rsidP="00384BCF">
            <w:pPr>
              <w:rPr>
                <w:rFonts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A235A">
              <w:rPr>
                <w:rFonts w:cstheme="minorHAnsi"/>
                <w:b/>
                <w:bCs/>
                <w:sz w:val="16"/>
                <w:szCs w:val="16"/>
              </w:rPr>
              <w:t>100%</w:t>
            </w:r>
            <w:r w:rsidRPr="001A235A">
              <w:rPr>
                <w:rFonts w:cstheme="minorHAnsi"/>
                <w:sz w:val="16"/>
                <w:szCs w:val="16"/>
              </w:rPr>
              <w:t xml:space="preserve"> du Smic</w:t>
            </w:r>
          </w:p>
        </w:tc>
      </w:tr>
    </w:tbl>
    <w:p w14:paraId="7C25E7D2" w14:textId="3C3A64A6" w:rsidR="00C342CA" w:rsidRPr="00C91FE1" w:rsidRDefault="002D4C82" w:rsidP="002D4C82">
      <w:pPr>
        <w:spacing w:after="0" w:line="240" w:lineRule="auto"/>
        <w:rPr>
          <w:b/>
          <w:bCs/>
          <w:sz w:val="18"/>
          <w:szCs w:val="18"/>
        </w:rPr>
      </w:pPr>
      <w:r w:rsidRPr="00C91FE1">
        <w:rPr>
          <w:b/>
          <w:bCs/>
          <w:sz w:val="18"/>
          <w:szCs w:val="18"/>
        </w:rPr>
        <w:t xml:space="preserve">Ces montants peuvent être majorés si un </w:t>
      </w:r>
      <w:r w:rsidRPr="00C91FE1">
        <w:rPr>
          <w:rStyle w:val="fr-sr-only"/>
          <w:b/>
          <w:bCs/>
          <w:sz w:val="18"/>
          <w:szCs w:val="18"/>
        </w:rPr>
        <w:t>accord collectif a</w:t>
      </w:r>
      <w:r w:rsidRPr="00C91FE1">
        <w:rPr>
          <w:b/>
          <w:bCs/>
          <w:sz w:val="18"/>
          <w:szCs w:val="18"/>
        </w:rPr>
        <w:t>pplicable dans l'entreprise fixe une rémunération minimale plus élevée.</w:t>
      </w:r>
    </w:p>
    <w:p w14:paraId="3BF52DFF" w14:textId="6032B6F0" w:rsidR="002D4C82" w:rsidRPr="00BE70D5" w:rsidRDefault="00BE70D5" w:rsidP="00BE70D5">
      <w:pPr>
        <w:spacing w:after="0" w:line="240" w:lineRule="auto"/>
        <w:rPr>
          <w:sz w:val="18"/>
          <w:szCs w:val="18"/>
        </w:rPr>
      </w:pPr>
      <w:r w:rsidRPr="00BE70D5">
        <w:rPr>
          <w:b/>
          <w:bCs/>
          <w:i/>
          <w:iCs/>
          <w:sz w:val="18"/>
          <w:szCs w:val="18"/>
        </w:rPr>
        <w:t>Exemples de s</w:t>
      </w:r>
      <w:r w:rsidR="002D4C82" w:rsidRPr="00BE70D5">
        <w:rPr>
          <w:b/>
          <w:bCs/>
          <w:i/>
          <w:iCs/>
          <w:sz w:val="18"/>
          <w:szCs w:val="18"/>
        </w:rPr>
        <w:t>ituations particulières</w:t>
      </w:r>
      <w:r w:rsidR="002D4C82">
        <w:rPr>
          <w:sz w:val="18"/>
          <w:szCs w:val="18"/>
        </w:rPr>
        <w:t> :</w:t>
      </w:r>
    </w:p>
    <w:p w14:paraId="053B18B4" w14:textId="03E627F7" w:rsidR="002D4C82" w:rsidRPr="00BE70D5" w:rsidRDefault="001A235A" w:rsidP="002D4C82">
      <w:pPr>
        <w:pStyle w:val="Paragraphedeliste"/>
        <w:numPr>
          <w:ilvl w:val="0"/>
          <w:numId w:val="10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En cas de </w:t>
      </w:r>
      <w:r w:rsidR="00BE70D5" w:rsidRPr="00BE70D5">
        <w:rPr>
          <w:sz w:val="16"/>
          <w:szCs w:val="16"/>
        </w:rPr>
        <w:t>succession</w:t>
      </w:r>
      <w:r w:rsidR="002D4C82" w:rsidRPr="00BE70D5">
        <w:rPr>
          <w:sz w:val="16"/>
          <w:szCs w:val="16"/>
        </w:rPr>
        <w:t xml:space="preserve"> de contrats </w:t>
      </w:r>
      <w:r>
        <w:rPr>
          <w:sz w:val="16"/>
          <w:szCs w:val="16"/>
        </w:rPr>
        <w:t>-&gt;</w:t>
      </w:r>
      <w:r w:rsidR="002D4C82" w:rsidRPr="00BE70D5">
        <w:rPr>
          <w:sz w:val="16"/>
          <w:szCs w:val="16"/>
        </w:rPr>
        <w:t xml:space="preserve"> rémunération au moins égale à celle perçue lors du contrat</w:t>
      </w:r>
      <w:r>
        <w:rPr>
          <w:sz w:val="16"/>
          <w:szCs w:val="16"/>
        </w:rPr>
        <w:t xml:space="preserve"> précédent</w:t>
      </w:r>
      <w:r w:rsidR="002D4C82" w:rsidRPr="00BE70D5">
        <w:rPr>
          <w:sz w:val="16"/>
          <w:szCs w:val="16"/>
        </w:rPr>
        <w:t xml:space="preserve"> </w:t>
      </w:r>
    </w:p>
    <w:p w14:paraId="6AA8335B" w14:textId="7464CA26" w:rsidR="002D4C82" w:rsidRPr="00BE70D5" w:rsidRDefault="001A235A" w:rsidP="002D4C82">
      <w:pPr>
        <w:pStyle w:val="Paragraphedeliste"/>
        <w:numPr>
          <w:ilvl w:val="0"/>
          <w:numId w:val="10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En cas de</w:t>
      </w:r>
      <w:r w:rsidR="002D4C82" w:rsidRPr="00BE70D5">
        <w:rPr>
          <w:sz w:val="16"/>
          <w:szCs w:val="16"/>
        </w:rPr>
        <w:t xml:space="preserve"> contrat </w:t>
      </w:r>
      <w:r>
        <w:rPr>
          <w:sz w:val="16"/>
          <w:szCs w:val="16"/>
        </w:rPr>
        <w:t>pour un apprenti en</w:t>
      </w:r>
      <w:r w:rsidR="002D4C82" w:rsidRPr="00BE70D5">
        <w:rPr>
          <w:sz w:val="16"/>
          <w:szCs w:val="16"/>
        </w:rPr>
        <w:t xml:space="preserve"> BAC pro </w:t>
      </w:r>
      <w:r>
        <w:rPr>
          <w:sz w:val="16"/>
          <w:szCs w:val="16"/>
        </w:rPr>
        <w:t xml:space="preserve">en </w:t>
      </w:r>
      <w:r w:rsidR="002D4C82" w:rsidRPr="00BE70D5">
        <w:rPr>
          <w:sz w:val="16"/>
          <w:szCs w:val="16"/>
        </w:rPr>
        <w:t>2</w:t>
      </w:r>
      <w:r>
        <w:rPr>
          <w:sz w:val="16"/>
          <w:szCs w:val="16"/>
        </w:rPr>
        <w:t xml:space="preserve"> ans -&gt;</w:t>
      </w:r>
      <w:r w:rsidR="002D4C82" w:rsidRPr="00BE70D5">
        <w:rPr>
          <w:sz w:val="16"/>
          <w:szCs w:val="16"/>
        </w:rPr>
        <w:t xml:space="preserve"> rémunération </w:t>
      </w:r>
      <w:r w:rsidR="009A2CEE">
        <w:rPr>
          <w:sz w:val="16"/>
          <w:szCs w:val="16"/>
        </w:rPr>
        <w:t xml:space="preserve">initiale </w:t>
      </w:r>
      <w:r>
        <w:rPr>
          <w:sz w:val="16"/>
          <w:szCs w:val="16"/>
        </w:rPr>
        <w:t xml:space="preserve">égale à celle d’une </w:t>
      </w:r>
      <w:r w:rsidR="002D4C82" w:rsidRPr="00BE70D5">
        <w:rPr>
          <w:sz w:val="16"/>
          <w:szCs w:val="16"/>
        </w:rPr>
        <w:t>2</w:t>
      </w:r>
      <w:r w:rsidR="002D4C82" w:rsidRPr="00BE70D5">
        <w:rPr>
          <w:sz w:val="16"/>
          <w:szCs w:val="16"/>
          <w:vertAlign w:val="superscript"/>
        </w:rPr>
        <w:t>ème</w:t>
      </w:r>
      <w:r w:rsidR="002D4C82" w:rsidRPr="00BE70D5">
        <w:rPr>
          <w:sz w:val="16"/>
          <w:szCs w:val="16"/>
        </w:rPr>
        <w:t xml:space="preserve"> </w:t>
      </w:r>
      <w:r w:rsidR="00BE70D5" w:rsidRPr="00BE70D5">
        <w:rPr>
          <w:sz w:val="16"/>
          <w:szCs w:val="16"/>
        </w:rPr>
        <w:t>année</w:t>
      </w:r>
      <w:r w:rsidR="002D4C82" w:rsidRPr="00BE70D5">
        <w:rPr>
          <w:sz w:val="16"/>
          <w:szCs w:val="16"/>
        </w:rPr>
        <w:t xml:space="preserve"> </w:t>
      </w:r>
    </w:p>
    <w:p w14:paraId="68869408" w14:textId="7E4D6C54" w:rsidR="00E853D4" w:rsidRPr="00E853D4" w:rsidRDefault="002D4C82" w:rsidP="00E431CF">
      <w:pPr>
        <w:pStyle w:val="Paragraphedeliste"/>
        <w:numPr>
          <w:ilvl w:val="0"/>
          <w:numId w:val="10"/>
        </w:numPr>
        <w:spacing w:after="0" w:line="240" w:lineRule="auto"/>
        <w:rPr>
          <w:sz w:val="16"/>
          <w:szCs w:val="16"/>
        </w:rPr>
      </w:pPr>
      <w:r w:rsidRPr="00BE70D5">
        <w:rPr>
          <w:sz w:val="16"/>
          <w:szCs w:val="16"/>
        </w:rPr>
        <w:t>Si l’</w:t>
      </w:r>
      <w:r w:rsidR="00BE70D5" w:rsidRPr="00BE70D5">
        <w:rPr>
          <w:sz w:val="16"/>
          <w:szCs w:val="16"/>
        </w:rPr>
        <w:t>apprenti</w:t>
      </w:r>
      <w:r w:rsidRPr="00BE70D5">
        <w:rPr>
          <w:sz w:val="16"/>
          <w:szCs w:val="16"/>
        </w:rPr>
        <w:t xml:space="preserve"> change de tranche d’</w:t>
      </w:r>
      <w:r w:rsidR="00BE70D5" w:rsidRPr="00BE70D5">
        <w:rPr>
          <w:sz w:val="16"/>
          <w:szCs w:val="16"/>
        </w:rPr>
        <w:t>âge</w:t>
      </w:r>
      <w:r w:rsidRPr="00BE70D5">
        <w:rPr>
          <w:sz w:val="16"/>
          <w:szCs w:val="16"/>
        </w:rPr>
        <w:t xml:space="preserve">, le pourcentage </w:t>
      </w:r>
      <w:r w:rsidR="009A2CEE">
        <w:rPr>
          <w:sz w:val="16"/>
          <w:szCs w:val="16"/>
        </w:rPr>
        <w:t xml:space="preserve">correspondant à son nouvel âge s’appliquera dès </w:t>
      </w:r>
      <w:r w:rsidRPr="00BE70D5">
        <w:rPr>
          <w:sz w:val="16"/>
          <w:szCs w:val="16"/>
        </w:rPr>
        <w:t>le mois suivant</w:t>
      </w:r>
    </w:p>
    <w:p w14:paraId="5FB1CD45" w14:textId="77777777" w:rsidR="00E853D4" w:rsidRDefault="00E853D4" w:rsidP="00E431CF">
      <w:pPr>
        <w:spacing w:after="0" w:line="240" w:lineRule="auto"/>
        <w:rPr>
          <w:b/>
          <w:bCs/>
          <w:color w:val="2F5496" w:themeColor="accent1" w:themeShade="BF"/>
        </w:rPr>
      </w:pPr>
    </w:p>
    <w:p w14:paraId="37D56357" w14:textId="72002C5B" w:rsidR="00E431CF" w:rsidRPr="00E431CF" w:rsidRDefault="009073E3" w:rsidP="00E431CF">
      <w:pPr>
        <w:spacing w:after="0" w:line="240" w:lineRule="auto"/>
        <w:rPr>
          <w:b/>
          <w:bCs/>
          <w:color w:val="2F5496" w:themeColor="accent1" w:themeShade="BF"/>
        </w:rPr>
      </w:pPr>
      <w:r w:rsidRPr="00E431CF">
        <w:rPr>
          <w:b/>
          <w:bCs/>
          <w:color w:val="2F5496" w:themeColor="accent1" w:themeShade="BF"/>
        </w:rPr>
        <w:t>Les</w:t>
      </w:r>
      <w:r w:rsidR="00E431CF">
        <w:rPr>
          <w:b/>
          <w:bCs/>
          <w:color w:val="2F5496" w:themeColor="accent1" w:themeShade="BF"/>
        </w:rPr>
        <w:t xml:space="preserve"> </w:t>
      </w:r>
      <w:r w:rsidRPr="00E431CF">
        <w:rPr>
          <w:b/>
          <w:bCs/>
          <w:color w:val="2F5496" w:themeColor="accent1" w:themeShade="BF"/>
        </w:rPr>
        <w:t>principaux</w:t>
      </w:r>
      <w:r w:rsidR="00BE70D5" w:rsidRPr="00E431CF">
        <w:rPr>
          <w:b/>
          <w:bCs/>
          <w:color w:val="2F5496" w:themeColor="accent1" w:themeShade="BF"/>
        </w:rPr>
        <w:t xml:space="preserve"> engagements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685"/>
        <w:gridCol w:w="2948"/>
      </w:tblGrid>
      <w:tr w:rsidR="00BE70D5" w14:paraId="21946641" w14:textId="77777777" w:rsidTr="009A2CEE">
        <w:tc>
          <w:tcPr>
            <w:tcW w:w="3823" w:type="dxa"/>
          </w:tcPr>
          <w:p w14:paraId="3BCBDD78" w14:textId="2FB2E1DF" w:rsidR="00BE70D5" w:rsidRDefault="009A2CEE" w:rsidP="009A2CEE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A2CEE">
              <w:rPr>
                <w:b/>
                <w:bCs/>
                <w:sz w:val="18"/>
                <w:szCs w:val="18"/>
              </w:rPr>
              <w:t>Concernant</w:t>
            </w:r>
            <w:r w:rsidR="00BE70D5" w:rsidRPr="009A2CEE">
              <w:rPr>
                <w:b/>
                <w:bCs/>
                <w:sz w:val="18"/>
                <w:szCs w:val="18"/>
              </w:rPr>
              <w:t xml:space="preserve"> l’apprenant</w:t>
            </w:r>
          </w:p>
        </w:tc>
        <w:tc>
          <w:tcPr>
            <w:tcW w:w="3685" w:type="dxa"/>
          </w:tcPr>
          <w:p w14:paraId="16FC0BC7" w14:textId="0A0A0747" w:rsidR="00BE70D5" w:rsidRDefault="009A2CEE" w:rsidP="009A2CEE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A2CEE">
              <w:rPr>
                <w:b/>
                <w:bCs/>
                <w:sz w:val="18"/>
                <w:szCs w:val="18"/>
              </w:rPr>
              <w:t>Concernant</w:t>
            </w:r>
            <w:r w:rsidR="00BE70D5" w:rsidRPr="009A2CEE">
              <w:rPr>
                <w:b/>
                <w:bCs/>
                <w:sz w:val="18"/>
                <w:szCs w:val="18"/>
              </w:rPr>
              <w:t xml:space="preserve"> l’entreprise</w:t>
            </w:r>
          </w:p>
        </w:tc>
        <w:tc>
          <w:tcPr>
            <w:tcW w:w="2948" w:type="dxa"/>
          </w:tcPr>
          <w:p w14:paraId="5E5C9A32" w14:textId="6840AE11" w:rsidR="00BE70D5" w:rsidRDefault="009A2CEE" w:rsidP="009A2CEE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A2CEE">
              <w:rPr>
                <w:b/>
                <w:bCs/>
                <w:sz w:val="18"/>
                <w:szCs w:val="18"/>
              </w:rPr>
              <w:t>Concernant le</w:t>
            </w:r>
            <w:r w:rsidR="00BE70D5" w:rsidRPr="009A2CE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="00BE70D5" w:rsidRPr="009A2CEE">
              <w:rPr>
                <w:b/>
                <w:bCs/>
                <w:sz w:val="18"/>
                <w:szCs w:val="18"/>
              </w:rPr>
              <w:t>FA</w:t>
            </w:r>
          </w:p>
        </w:tc>
      </w:tr>
      <w:tr w:rsidR="00BE70D5" w14:paraId="4FA84AA0" w14:textId="77777777" w:rsidTr="009A2CEE">
        <w:trPr>
          <w:trHeight w:val="1203"/>
        </w:trPr>
        <w:tc>
          <w:tcPr>
            <w:tcW w:w="3823" w:type="dxa"/>
          </w:tcPr>
          <w:p w14:paraId="4F9F747A" w14:textId="44D73FF4" w:rsidR="009A2CEE" w:rsidRDefault="00BE70D5" w:rsidP="00BE70D5">
            <w:pPr>
              <w:rPr>
                <w:sz w:val="16"/>
                <w:szCs w:val="16"/>
              </w:rPr>
            </w:pPr>
            <w:r w:rsidRPr="0094061E">
              <w:rPr>
                <w:sz w:val="16"/>
                <w:szCs w:val="16"/>
              </w:rPr>
              <w:t>L’apprenti est tenu</w:t>
            </w:r>
            <w:r w:rsidR="0094061E" w:rsidRPr="0094061E">
              <w:rPr>
                <w:sz w:val="16"/>
                <w:szCs w:val="16"/>
              </w:rPr>
              <w:t xml:space="preserve"> </w:t>
            </w:r>
            <w:r w:rsidRPr="0094061E">
              <w:rPr>
                <w:sz w:val="16"/>
                <w:szCs w:val="16"/>
              </w:rPr>
              <w:t xml:space="preserve">de suivre </w:t>
            </w:r>
            <w:r w:rsidR="0094061E" w:rsidRPr="0094061E">
              <w:rPr>
                <w:sz w:val="16"/>
                <w:szCs w:val="16"/>
              </w:rPr>
              <w:t xml:space="preserve">les enseignements prévus, de respecter le règlement intérieur de l’Unité de </w:t>
            </w:r>
            <w:r w:rsidR="0094061E">
              <w:rPr>
                <w:sz w:val="16"/>
                <w:szCs w:val="16"/>
              </w:rPr>
              <w:t>F</w:t>
            </w:r>
            <w:r w:rsidR="0094061E" w:rsidRPr="0094061E">
              <w:rPr>
                <w:sz w:val="16"/>
                <w:szCs w:val="16"/>
              </w:rPr>
              <w:t xml:space="preserve">ormation par </w:t>
            </w:r>
            <w:r w:rsidR="0094061E">
              <w:rPr>
                <w:sz w:val="16"/>
                <w:szCs w:val="16"/>
              </w:rPr>
              <w:t>A</w:t>
            </w:r>
            <w:r w:rsidR="0094061E" w:rsidRPr="0094061E">
              <w:rPr>
                <w:sz w:val="16"/>
                <w:szCs w:val="16"/>
              </w:rPr>
              <w:t xml:space="preserve">pprentissage (UFA), de se présenter aux examens et de réaliser les missions confiées par l’employeur. </w:t>
            </w:r>
          </w:p>
          <w:p w14:paraId="55238947" w14:textId="2A5D0A1A" w:rsidR="00BE70D5" w:rsidRPr="00344C5C" w:rsidRDefault="0094061E" w:rsidP="00BE70D5">
            <w:pPr>
              <w:rPr>
                <w:sz w:val="16"/>
                <w:szCs w:val="16"/>
              </w:rPr>
            </w:pPr>
            <w:r w:rsidRPr="0094061E">
              <w:rPr>
                <w:sz w:val="16"/>
                <w:szCs w:val="16"/>
              </w:rPr>
              <w:t xml:space="preserve">Il doit respecter </w:t>
            </w:r>
            <w:r w:rsidR="009A2CEE">
              <w:rPr>
                <w:sz w:val="16"/>
                <w:szCs w:val="16"/>
              </w:rPr>
              <w:t xml:space="preserve">toutes </w:t>
            </w:r>
            <w:r w:rsidRPr="0094061E">
              <w:rPr>
                <w:sz w:val="16"/>
                <w:szCs w:val="16"/>
              </w:rPr>
              <w:t>les règles liées à l’apprentissage</w:t>
            </w:r>
          </w:p>
        </w:tc>
        <w:tc>
          <w:tcPr>
            <w:tcW w:w="3685" w:type="dxa"/>
          </w:tcPr>
          <w:p w14:paraId="68655295" w14:textId="490D3C76" w:rsidR="0094061E" w:rsidRDefault="00BE70D5" w:rsidP="0094061E">
            <w:pPr>
              <w:rPr>
                <w:sz w:val="16"/>
                <w:szCs w:val="16"/>
              </w:rPr>
            </w:pPr>
            <w:r w:rsidRPr="0094061E">
              <w:rPr>
                <w:sz w:val="16"/>
                <w:szCs w:val="16"/>
              </w:rPr>
              <w:t xml:space="preserve">Confier à l'apprenti </w:t>
            </w:r>
            <w:r w:rsidR="0094061E" w:rsidRPr="0094061E">
              <w:rPr>
                <w:sz w:val="16"/>
                <w:szCs w:val="16"/>
              </w:rPr>
              <w:t>des missions</w:t>
            </w:r>
            <w:r w:rsidRPr="0094061E">
              <w:rPr>
                <w:sz w:val="16"/>
                <w:szCs w:val="16"/>
              </w:rPr>
              <w:t xml:space="preserve"> en relation directe avec l'objectif du diplôme visé par le contrat,</w:t>
            </w:r>
          </w:p>
          <w:p w14:paraId="2532D479" w14:textId="5459E097" w:rsidR="0094061E" w:rsidRDefault="0094061E" w:rsidP="00940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Accompagner l</w:t>
            </w:r>
            <w:r w:rsidR="009A2CEE">
              <w:rPr>
                <w:sz w:val="16"/>
                <w:szCs w:val="16"/>
              </w:rPr>
              <w:t>’apprenti</w:t>
            </w:r>
            <w:r>
              <w:rPr>
                <w:sz w:val="16"/>
                <w:szCs w:val="16"/>
              </w:rPr>
              <w:t xml:space="preserve"> tout au long de son cursus en respectant les règles liées à l’apprentissage</w:t>
            </w:r>
            <w:r w:rsidR="002648DA">
              <w:rPr>
                <w:sz w:val="16"/>
                <w:szCs w:val="16"/>
              </w:rPr>
              <w:t>,</w:t>
            </w:r>
            <w:r w:rsidR="009A2CEE">
              <w:rPr>
                <w:sz w:val="16"/>
                <w:szCs w:val="16"/>
              </w:rPr>
              <w:t xml:space="preserve"> </w:t>
            </w:r>
          </w:p>
          <w:p w14:paraId="4F565570" w14:textId="1709D454" w:rsidR="0094061E" w:rsidRPr="00E431CF" w:rsidRDefault="002648DA" w:rsidP="00940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BE70D5" w:rsidRPr="0094061E">
              <w:rPr>
                <w:sz w:val="16"/>
                <w:szCs w:val="16"/>
              </w:rPr>
              <w:t xml:space="preserve"> 'engager à faire suivre à l 'apprenti la formation dispensée par le Centre</w:t>
            </w:r>
            <w:r w:rsidR="0094061E">
              <w:rPr>
                <w:sz w:val="16"/>
                <w:szCs w:val="16"/>
              </w:rPr>
              <w:t xml:space="preserve"> de </w:t>
            </w:r>
            <w:r w:rsidR="009A2CEE">
              <w:rPr>
                <w:sz w:val="16"/>
                <w:szCs w:val="16"/>
              </w:rPr>
              <w:t>F</w:t>
            </w:r>
            <w:r w:rsidR="0094061E">
              <w:rPr>
                <w:sz w:val="16"/>
                <w:szCs w:val="16"/>
              </w:rPr>
              <w:t>ormation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48" w:type="dxa"/>
          </w:tcPr>
          <w:p w14:paraId="23DAF13B" w14:textId="545811D0" w:rsidR="00BE70D5" w:rsidRPr="009073E3" w:rsidRDefault="0094061E" w:rsidP="00BE70D5">
            <w:pPr>
              <w:rPr>
                <w:sz w:val="16"/>
                <w:szCs w:val="16"/>
              </w:rPr>
            </w:pPr>
            <w:r w:rsidRPr="009073E3">
              <w:rPr>
                <w:sz w:val="16"/>
                <w:szCs w:val="16"/>
              </w:rPr>
              <w:t>Assurer la formation de l’apprenti</w:t>
            </w:r>
            <w:r w:rsidR="009A2CEE">
              <w:rPr>
                <w:sz w:val="16"/>
                <w:szCs w:val="16"/>
              </w:rPr>
              <w:t>,</w:t>
            </w:r>
          </w:p>
          <w:p w14:paraId="60F32DF2" w14:textId="722B0CD3" w:rsidR="009073E3" w:rsidRPr="009073E3" w:rsidRDefault="009073E3" w:rsidP="00BE70D5">
            <w:pPr>
              <w:rPr>
                <w:sz w:val="16"/>
                <w:szCs w:val="16"/>
              </w:rPr>
            </w:pPr>
            <w:r w:rsidRPr="009073E3">
              <w:rPr>
                <w:sz w:val="16"/>
                <w:szCs w:val="16"/>
              </w:rPr>
              <w:t>Communiquer les informations aux employeurs</w:t>
            </w:r>
            <w:r w:rsidR="009A2CEE">
              <w:rPr>
                <w:sz w:val="16"/>
                <w:szCs w:val="16"/>
              </w:rPr>
              <w:t>,</w:t>
            </w:r>
          </w:p>
          <w:p w14:paraId="3E189210" w14:textId="5039CC27" w:rsidR="009073E3" w:rsidRDefault="00E431CF" w:rsidP="009073E3">
            <w:pPr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9073E3">
              <w:rPr>
                <w:sz w:val="16"/>
                <w:szCs w:val="16"/>
              </w:rPr>
              <w:t>Assurer le</w:t>
            </w:r>
            <w:r w:rsidR="009073E3" w:rsidRPr="009073E3">
              <w:rPr>
                <w:sz w:val="16"/>
                <w:szCs w:val="16"/>
              </w:rPr>
              <w:t xml:space="preserve"> suivi de </w:t>
            </w:r>
            <w:r w:rsidR="002648DA" w:rsidRPr="009073E3">
              <w:rPr>
                <w:sz w:val="16"/>
                <w:szCs w:val="16"/>
              </w:rPr>
              <w:t>l’apprenti</w:t>
            </w:r>
            <w:r w:rsidR="002648DA">
              <w:rPr>
                <w:sz w:val="16"/>
                <w:szCs w:val="16"/>
              </w:rPr>
              <w:t>, Accompagner</w:t>
            </w:r>
            <w:r w:rsidR="009073E3" w:rsidRPr="009073E3">
              <w:rPr>
                <w:sz w:val="16"/>
                <w:szCs w:val="16"/>
              </w:rPr>
              <w:t xml:space="preserve"> l’apprenti tout au long de son parcours de formation</w:t>
            </w:r>
            <w:r w:rsidR="002648DA">
              <w:rPr>
                <w:sz w:val="16"/>
                <w:szCs w:val="16"/>
              </w:rPr>
              <w:t>.</w:t>
            </w:r>
            <w:r w:rsidR="009073E3" w:rsidRPr="009073E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E5E65E1" w14:textId="33D24269" w:rsidR="00BE70D5" w:rsidRDefault="00BE70D5" w:rsidP="00344C5C">
      <w:pPr>
        <w:spacing w:after="0" w:line="240" w:lineRule="auto"/>
        <w:rPr>
          <w:b/>
          <w:bCs/>
          <w:color w:val="2F5496" w:themeColor="accent1" w:themeShade="BF"/>
          <w:sz w:val="18"/>
          <w:szCs w:val="18"/>
        </w:rPr>
      </w:pPr>
    </w:p>
    <w:p w14:paraId="244A8E0A" w14:textId="77777777" w:rsidR="002648DA" w:rsidRPr="00BE70D5" w:rsidRDefault="002648DA" w:rsidP="00344C5C">
      <w:pPr>
        <w:spacing w:after="0" w:line="240" w:lineRule="auto"/>
        <w:rPr>
          <w:b/>
          <w:bCs/>
          <w:color w:val="2F5496" w:themeColor="accent1" w:themeShade="BF"/>
          <w:sz w:val="18"/>
          <w:szCs w:val="18"/>
        </w:rPr>
      </w:pPr>
    </w:p>
    <w:sectPr w:rsidR="002648DA" w:rsidRPr="00BE70D5" w:rsidSect="00DC655B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92B8" w14:textId="77777777" w:rsidR="00B763E3" w:rsidRDefault="00B763E3" w:rsidP="00DC655B">
      <w:pPr>
        <w:spacing w:after="0" w:line="240" w:lineRule="auto"/>
      </w:pPr>
      <w:r>
        <w:separator/>
      </w:r>
    </w:p>
  </w:endnote>
  <w:endnote w:type="continuationSeparator" w:id="0">
    <w:p w14:paraId="16158AEE" w14:textId="77777777" w:rsidR="00B763E3" w:rsidRDefault="00B763E3" w:rsidP="00DC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B73B" w14:textId="77777777" w:rsidR="00B763E3" w:rsidRDefault="00B763E3" w:rsidP="00DC655B">
      <w:pPr>
        <w:spacing w:after="0" w:line="240" w:lineRule="auto"/>
      </w:pPr>
      <w:r>
        <w:separator/>
      </w:r>
    </w:p>
  </w:footnote>
  <w:footnote w:type="continuationSeparator" w:id="0">
    <w:p w14:paraId="047A5AAE" w14:textId="77777777" w:rsidR="00B763E3" w:rsidRDefault="00B763E3" w:rsidP="00DC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B06C" w14:textId="69070F64" w:rsidR="00DC655B" w:rsidRDefault="00DC655B">
    <w:pPr>
      <w:pStyle w:val="En-tte"/>
    </w:pPr>
    <w:r>
      <w:rPr>
        <w:noProof/>
        <w:bdr w:val="nil"/>
        <w:lang w:eastAsia="fr-FR"/>
      </w:rPr>
      <w:drawing>
        <wp:anchor distT="0" distB="0" distL="114300" distR="114300" simplePos="0" relativeHeight="251661312" behindDoc="0" locked="0" layoutInCell="1" allowOverlap="1" wp14:anchorId="4EE66A49" wp14:editId="39750231">
          <wp:simplePos x="0" y="0"/>
          <wp:positionH relativeFrom="column">
            <wp:posOffset>5929715</wp:posOffset>
          </wp:positionH>
          <wp:positionV relativeFrom="paragraph">
            <wp:posOffset>-394288</wp:posOffset>
          </wp:positionV>
          <wp:extent cx="1116091" cy="545465"/>
          <wp:effectExtent l="0" t="0" r="8255" b="6985"/>
          <wp:wrapNone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91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il"/>
        <w:lang w:eastAsia="fr-FR"/>
      </w:rPr>
      <w:drawing>
        <wp:anchor distT="0" distB="0" distL="114300" distR="114300" simplePos="0" relativeHeight="251659264" behindDoc="0" locked="0" layoutInCell="1" allowOverlap="1" wp14:anchorId="253DC90C" wp14:editId="323536AA">
          <wp:simplePos x="0" y="0"/>
          <wp:positionH relativeFrom="column">
            <wp:posOffset>-402609</wp:posOffset>
          </wp:positionH>
          <wp:positionV relativeFrom="paragraph">
            <wp:posOffset>-430539</wp:posOffset>
          </wp:positionV>
          <wp:extent cx="880280" cy="675005"/>
          <wp:effectExtent l="0" t="0" r="0" b="0"/>
          <wp:wrapNone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28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A00"/>
    <w:multiLevelType w:val="hybridMultilevel"/>
    <w:tmpl w:val="4B822F12"/>
    <w:lvl w:ilvl="0" w:tplc="41BA0496">
      <w:numFmt w:val="bullet"/>
      <w:lvlText w:val=""/>
      <w:lvlJc w:val="left"/>
      <w:pPr>
        <w:ind w:left="384" w:hanging="360"/>
      </w:pPr>
      <w:rPr>
        <w:rFonts w:ascii="Wingdings" w:eastAsia="Yu Gothic Light" w:hAnsi="Wingdings" w:cstheme="minorBidi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2A93351"/>
    <w:multiLevelType w:val="hybridMultilevel"/>
    <w:tmpl w:val="235A8F50"/>
    <w:lvl w:ilvl="0" w:tplc="5AFE3C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70C2"/>
    <w:multiLevelType w:val="hybridMultilevel"/>
    <w:tmpl w:val="53F44DAC"/>
    <w:lvl w:ilvl="0" w:tplc="CAB88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6430"/>
    <w:multiLevelType w:val="hybridMultilevel"/>
    <w:tmpl w:val="64A22FD8"/>
    <w:lvl w:ilvl="0" w:tplc="8C6C846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7918"/>
    <w:multiLevelType w:val="hybridMultilevel"/>
    <w:tmpl w:val="B6D83512"/>
    <w:lvl w:ilvl="0" w:tplc="011A7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F08C8"/>
    <w:multiLevelType w:val="hybridMultilevel"/>
    <w:tmpl w:val="30B05C40"/>
    <w:lvl w:ilvl="0" w:tplc="7BBAE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1645"/>
    <w:multiLevelType w:val="hybridMultilevel"/>
    <w:tmpl w:val="59A450C2"/>
    <w:lvl w:ilvl="0" w:tplc="7D8E0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5CC"/>
    <w:multiLevelType w:val="hybridMultilevel"/>
    <w:tmpl w:val="B7E8BDB0"/>
    <w:lvl w:ilvl="0" w:tplc="DA8C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C3C"/>
    <w:multiLevelType w:val="hybridMultilevel"/>
    <w:tmpl w:val="F60830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B41"/>
    <w:multiLevelType w:val="hybridMultilevel"/>
    <w:tmpl w:val="DEC23520"/>
    <w:lvl w:ilvl="0" w:tplc="E67A8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A28F9"/>
    <w:multiLevelType w:val="hybridMultilevel"/>
    <w:tmpl w:val="9BA46144"/>
    <w:lvl w:ilvl="0" w:tplc="6CC070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E60D1"/>
    <w:multiLevelType w:val="multilevel"/>
    <w:tmpl w:val="04B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20134"/>
    <w:multiLevelType w:val="hybridMultilevel"/>
    <w:tmpl w:val="F812625C"/>
    <w:lvl w:ilvl="0" w:tplc="C6F06CF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5B"/>
    <w:rsid w:val="000A1960"/>
    <w:rsid w:val="000F4ABA"/>
    <w:rsid w:val="001A235A"/>
    <w:rsid w:val="002522AD"/>
    <w:rsid w:val="002648DA"/>
    <w:rsid w:val="002D4C82"/>
    <w:rsid w:val="003034AA"/>
    <w:rsid w:val="003059C9"/>
    <w:rsid w:val="003419C2"/>
    <w:rsid w:val="00344C5C"/>
    <w:rsid w:val="00384BCF"/>
    <w:rsid w:val="00421E64"/>
    <w:rsid w:val="004A7CE4"/>
    <w:rsid w:val="004E3633"/>
    <w:rsid w:val="00591741"/>
    <w:rsid w:val="00595438"/>
    <w:rsid w:val="005C6E18"/>
    <w:rsid w:val="0066029A"/>
    <w:rsid w:val="006B0F91"/>
    <w:rsid w:val="007A6213"/>
    <w:rsid w:val="007A79DE"/>
    <w:rsid w:val="007C5A73"/>
    <w:rsid w:val="008A48EC"/>
    <w:rsid w:val="008F5F0C"/>
    <w:rsid w:val="009073E3"/>
    <w:rsid w:val="00917382"/>
    <w:rsid w:val="0094061E"/>
    <w:rsid w:val="009417A5"/>
    <w:rsid w:val="00950E42"/>
    <w:rsid w:val="009A2CEE"/>
    <w:rsid w:val="00A2317A"/>
    <w:rsid w:val="00A352FD"/>
    <w:rsid w:val="00AC753A"/>
    <w:rsid w:val="00B03D17"/>
    <w:rsid w:val="00B763E3"/>
    <w:rsid w:val="00B87479"/>
    <w:rsid w:val="00BE70D5"/>
    <w:rsid w:val="00C342CA"/>
    <w:rsid w:val="00C80AF5"/>
    <w:rsid w:val="00C8472B"/>
    <w:rsid w:val="00C91FE1"/>
    <w:rsid w:val="00CA2082"/>
    <w:rsid w:val="00CA6C9C"/>
    <w:rsid w:val="00D05EA7"/>
    <w:rsid w:val="00D46A5E"/>
    <w:rsid w:val="00DC655B"/>
    <w:rsid w:val="00E431CF"/>
    <w:rsid w:val="00E853D4"/>
    <w:rsid w:val="00EB0B72"/>
    <w:rsid w:val="00ED2CB0"/>
    <w:rsid w:val="00FD1DE2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6A0F"/>
  <w15:chartTrackingRefBased/>
  <w15:docId w15:val="{B03D8C03-8E9B-4608-9DBF-55227D04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55B"/>
  </w:style>
  <w:style w:type="paragraph" w:styleId="Pieddepage">
    <w:name w:val="footer"/>
    <w:basedOn w:val="Normal"/>
    <w:link w:val="PieddepageCar"/>
    <w:uiPriority w:val="99"/>
    <w:unhideWhenUsed/>
    <w:rsid w:val="00DC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55B"/>
  </w:style>
  <w:style w:type="character" w:styleId="Lienhypertexte">
    <w:name w:val="Hyperlink"/>
    <w:basedOn w:val="Policepardfaut"/>
    <w:uiPriority w:val="99"/>
    <w:unhideWhenUsed/>
    <w:rsid w:val="00DC65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55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C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747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87479"/>
    <w:rPr>
      <w:b/>
      <w:bCs/>
    </w:rPr>
  </w:style>
  <w:style w:type="paragraph" w:styleId="NormalWeb">
    <w:name w:val="Normal (Web)"/>
    <w:basedOn w:val="Normal"/>
    <w:uiPriority w:val="99"/>
    <w:unhideWhenUsed/>
    <w:rsid w:val="009417A5"/>
    <w:rPr>
      <w:rFonts w:ascii="Times New Roman" w:hAnsi="Times New Roman" w:cs="Times New Roman"/>
      <w:sz w:val="24"/>
      <w:szCs w:val="24"/>
    </w:rPr>
  </w:style>
  <w:style w:type="character" w:customStyle="1" w:styleId="sp-prix">
    <w:name w:val="sp-prix"/>
    <w:basedOn w:val="Policepardfaut"/>
    <w:rsid w:val="00C342CA"/>
  </w:style>
  <w:style w:type="character" w:customStyle="1" w:styleId="fr-sr-only">
    <w:name w:val="fr-sr-only"/>
    <w:basedOn w:val="Policepardfaut"/>
    <w:rsid w:val="00C342CA"/>
  </w:style>
  <w:style w:type="character" w:customStyle="1" w:styleId="tool-tip">
    <w:name w:val="tool-tip"/>
    <w:basedOn w:val="Policepardfaut"/>
    <w:rsid w:val="002D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ail-emploi.gouv.fr/precis-de-lapprentissage" TargetMode="External"/><Relationship Id="rId13" Type="http://schemas.openxmlformats.org/officeDocument/2006/relationships/hyperlink" Target="https://www.service-public.fr/particuliers/vosdroits/F29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treprendre.service-public.gouv.fr/vosdroits/F152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vail-emploi.gouv.fr/sites/travail-emploi/files/2024-05/guideapprentissage_handicap_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ravail-emploi.gouv.fr/actualites/l-actualite-du-ministere/article/apprentissage-et-handicap-un-guide-pour-les-entreprises-et-les-apprent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orts.gouv.fr/liste-des-sportifs-francais-de-haut-niveau-6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4522-7F90-4A5D-A2BA-4015368C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Florestano</dc:creator>
  <cp:keywords/>
  <dc:description/>
  <cp:lastModifiedBy>Carole Florestano</cp:lastModifiedBy>
  <cp:revision>2</cp:revision>
  <cp:lastPrinted>2026-03-09T07:34:00Z</cp:lastPrinted>
  <dcterms:created xsi:type="dcterms:W3CDTF">2026-03-20T14:42:00Z</dcterms:created>
  <dcterms:modified xsi:type="dcterms:W3CDTF">2026-03-20T14:42:00Z</dcterms:modified>
</cp:coreProperties>
</file>